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709CF" w14:textId="77777777" w:rsidR="000B2927" w:rsidRDefault="000B2927"/>
    <w:p w14:paraId="74D48551" w14:textId="733CF2A2" w:rsidR="006C5F60" w:rsidRDefault="007470E9" w:rsidP="00A62E1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180B7ADA" w14:textId="77777777" w:rsidR="00381B1D" w:rsidRPr="00381B1D" w:rsidRDefault="007470E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 са упутством како да се попуни</w:t>
      </w:r>
    </w:p>
    <w:tbl>
      <w:tblPr>
        <w:tblpPr w:leftFromText="180" w:rightFromText="180" w:bottomFromText="200" w:vertAnchor="text" w:horzAnchor="margin" w:tblpX="-1270" w:tblpY="72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88"/>
        <w:gridCol w:w="2127"/>
        <w:gridCol w:w="1984"/>
        <w:gridCol w:w="2127"/>
        <w:gridCol w:w="2127"/>
        <w:gridCol w:w="1984"/>
        <w:gridCol w:w="1985"/>
        <w:gridCol w:w="2126"/>
      </w:tblGrid>
      <w:tr w:rsidR="00804728" w:rsidRPr="00EF16E2" w14:paraId="15E710F4" w14:textId="77777777" w:rsidTr="00B30DFE">
        <w:trPr>
          <w:trHeight w:val="439"/>
        </w:trPr>
        <w:tc>
          <w:tcPr>
            <w:tcW w:w="1658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B74AB94" w14:textId="77777777" w:rsidR="00804728" w:rsidRPr="009344DF" w:rsidRDefault="00804728" w:rsidP="00804728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44DF">
              <w:rPr>
                <w:rFonts w:ascii="Times New Roman" w:hAnsi="Times New Roman"/>
                <w:b/>
                <w:lang w:val="sr-Cyrl-RS"/>
              </w:rPr>
              <w:t xml:space="preserve">Табела </w:t>
            </w:r>
            <w:r>
              <w:rPr>
                <w:rFonts w:ascii="Times New Roman" w:hAnsi="Times New Roman"/>
                <w:b/>
                <w:lang w:val="sr-Cyrl-RS"/>
              </w:rPr>
              <w:t>1</w:t>
            </w:r>
          </w:p>
        </w:tc>
      </w:tr>
      <w:tr w:rsidR="007470E9" w:rsidRPr="00EF16E2" w14:paraId="5E9DF658" w14:textId="77777777" w:rsidTr="00804728">
        <w:trPr>
          <w:trHeight w:val="424"/>
        </w:trPr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5C821F5B" w14:textId="77777777" w:rsidR="007470E9" w:rsidRPr="00AD595D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</w:t>
            </w:r>
          </w:p>
        </w:tc>
        <w:tc>
          <w:tcPr>
            <w:tcW w:w="158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6F9C12D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36748A07" w14:textId="77777777" w:rsidR="007470E9" w:rsidRPr="00AD595D" w:rsidRDefault="007470E9" w:rsidP="00E202E4">
            <w:pPr>
              <w:jc w:val="center"/>
              <w:rPr>
                <w:rFonts w:ascii="Times New Roman" w:eastAsia="Arial Unicode MS" w:hAnsi="Times New Roman"/>
                <w:b/>
                <w:kern w:val="1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Latn-RS" w:eastAsia="ar-SA"/>
              </w:rPr>
              <w:t>3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2FE00E9A" w14:textId="77777777" w:rsidR="007470E9" w:rsidRPr="00AD595D" w:rsidRDefault="007470E9" w:rsidP="00E202E4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</w:tcPr>
          <w:p w14:paraId="419CFE8A" w14:textId="77777777" w:rsidR="007470E9" w:rsidRPr="005440A7" w:rsidRDefault="007470E9" w:rsidP="00E202E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</w:tcPr>
          <w:p w14:paraId="3EDDD0BF" w14:textId="77777777" w:rsidR="007470E9" w:rsidRPr="009960BF" w:rsidRDefault="007470E9" w:rsidP="00E202E4">
            <w:pPr>
              <w:jc w:val="center"/>
              <w:rPr>
                <w:rFonts w:ascii="Times New Roman" w:hAnsi="Times New Roman"/>
                <w:b/>
                <w:highlight w:val="yellow"/>
                <w:lang w:val="sr-Cyrl-RS"/>
              </w:rPr>
            </w:pPr>
            <w:r w:rsidRPr="00F83C6B">
              <w:rPr>
                <w:rFonts w:ascii="Times New Roman" w:hAnsi="Times New Roman"/>
                <w:b/>
                <w:lang w:val="sr-Cyrl-RS"/>
              </w:rPr>
              <w:t>6.</w:t>
            </w:r>
          </w:p>
        </w:tc>
      </w:tr>
      <w:tr w:rsidR="007470E9" w:rsidRPr="00EF16E2" w14:paraId="4A2F061F" w14:textId="77777777" w:rsidTr="00804728">
        <w:trPr>
          <w:trHeight w:val="58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6D006854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EF16E2">
              <w:rPr>
                <w:rFonts w:ascii="Times New Roman" w:hAnsi="Times New Roman"/>
                <w:b/>
                <w:bCs/>
                <w:lang w:val="sr-Cyrl-CS"/>
              </w:rPr>
              <w:t>Р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>.</w:t>
            </w:r>
            <w:r w:rsidRPr="00EF16E2">
              <w:rPr>
                <w:rFonts w:ascii="Times New Roman" w:hAnsi="Times New Roman"/>
                <w:b/>
                <w:bCs/>
                <w:lang w:val="sr-Cyrl-CS"/>
              </w:rPr>
              <w:t xml:space="preserve"> бр.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EAAAA"/>
            <w:vAlign w:val="center"/>
            <w:hideMark/>
          </w:tcPr>
          <w:p w14:paraId="43AF60F7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EF16E2">
              <w:rPr>
                <w:rFonts w:ascii="Times New Roman" w:hAnsi="Times New Roman"/>
                <w:b/>
                <w:bCs/>
              </w:rPr>
              <w:t>Назив</w:t>
            </w:r>
            <w:proofErr w:type="spellEnd"/>
            <w:r w:rsidRPr="00EF16E2">
              <w:rPr>
                <w:rFonts w:ascii="Times New Roman" w:hAnsi="Times New Roman"/>
                <w:b/>
                <w:bCs/>
              </w:rPr>
              <w:t xml:space="preserve"> </w:t>
            </w:r>
            <w:r w:rsidRPr="00EF16E2">
              <w:rPr>
                <w:rFonts w:ascii="Times New Roman" w:hAnsi="Times New Roman"/>
                <w:b/>
                <w:bCs/>
                <w:lang w:val="sr-Cyrl-RS"/>
              </w:rPr>
              <w:t>догађаја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EAAAA"/>
            <w:vAlign w:val="center"/>
            <w:hideMark/>
          </w:tcPr>
          <w:p w14:paraId="3A27C6B6" w14:textId="77777777" w:rsidR="007470E9" w:rsidRPr="00F83C6B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22FF0BEF" w14:textId="02A57B6B" w:rsidR="007470E9" w:rsidRPr="00F83C6B" w:rsidRDefault="007470E9" w:rsidP="00560F9F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83C6B">
              <w:rPr>
                <w:rFonts w:ascii="Times New Roman" w:hAnsi="Times New Roman"/>
                <w:b/>
                <w:lang w:val="sr-Cyrl-RS"/>
              </w:rPr>
              <w:t>Цена и</w:t>
            </w:r>
            <w:proofErr w:type="spellStart"/>
            <w:r w:rsidRPr="00F83C6B">
              <w:rPr>
                <w:rFonts w:ascii="Times New Roman" w:hAnsi="Times New Roman"/>
                <w:b/>
              </w:rPr>
              <w:t>зрад</w:t>
            </w:r>
            <w:proofErr w:type="spellEnd"/>
            <w:r w:rsidRPr="00F83C6B">
              <w:rPr>
                <w:rFonts w:ascii="Times New Roman" w:hAnsi="Times New Roman"/>
                <w:b/>
                <w:lang w:val="sr-Cyrl-RS"/>
              </w:rPr>
              <w:t xml:space="preserve">е, монтаже, </w:t>
            </w:r>
            <w:proofErr w:type="spellStart"/>
            <w:r w:rsidRPr="00F83C6B">
              <w:rPr>
                <w:rFonts w:ascii="Times New Roman" w:hAnsi="Times New Roman"/>
                <w:b/>
              </w:rPr>
              <w:t>опремањ</w:t>
            </w:r>
            <w:proofErr w:type="spellEnd"/>
            <w:r w:rsidRPr="00F83C6B">
              <w:rPr>
                <w:rFonts w:ascii="Times New Roman" w:hAnsi="Times New Roman"/>
                <w:b/>
                <w:lang w:val="sr-Cyrl-RS"/>
              </w:rPr>
              <w:t>а</w:t>
            </w:r>
            <w:r w:rsidRPr="00F83C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b/>
              </w:rPr>
              <w:t>штанда</w:t>
            </w:r>
            <w:proofErr w:type="spellEnd"/>
            <w:r w:rsidRPr="00F83C6B">
              <w:rPr>
                <w:rFonts w:ascii="Times New Roman" w:hAnsi="Times New Roman"/>
                <w:b/>
              </w:rPr>
              <w:t xml:space="preserve"> </w:t>
            </w:r>
            <w:r w:rsidRPr="00F83C6B">
              <w:rPr>
                <w:rFonts w:ascii="Times New Roman" w:hAnsi="Times New Roman"/>
                <w:b/>
                <w:lang w:val="sr-Cyrl-RS"/>
              </w:rPr>
              <w:t>и демонтаже</w:t>
            </w:r>
            <w:r w:rsidRPr="00F83C6B">
              <w:rPr>
                <w:rFonts w:ascii="Times New Roman" w:hAnsi="Times New Roman"/>
                <w:lang w:val="sr-Cyrl-RS"/>
              </w:rPr>
              <w:t xml:space="preserve"> </w:t>
            </w:r>
            <w:r w:rsidRPr="00F83C6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конструкција</w:t>
            </w:r>
            <w:proofErr w:type="spellEnd"/>
            <w:r w:rsidR="009970B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штанда</w:t>
            </w:r>
            <w:r w:rsidR="009970BF" w:rsidRPr="00F83C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970B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елементи</w:t>
            </w:r>
            <w:r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на штанду,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подне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облоге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>,</w:t>
            </w:r>
            <w:r w:rsidR="009970B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намештај, расвета, изнајмљивање ЛЕД екрана и друге технике,</w:t>
            </w:r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витрине, изнајмљивање фрижидера/замрзивача за излагаче као и других потребних елемената за излагање, шпедиција штанда, 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монтажа и демонтажа</w:t>
            </w:r>
            <w:r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целокупног штанда,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постављање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демонтаж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а</w:t>
            </w:r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електричних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инсталација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штанду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интернета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повезивање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прикључком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6B">
              <w:rPr>
                <w:rFonts w:ascii="Times New Roman" w:hAnsi="Times New Roman"/>
                <w:sz w:val="18"/>
                <w:szCs w:val="18"/>
              </w:rPr>
              <w:t>воду</w:t>
            </w:r>
            <w:proofErr w:type="spellEnd"/>
            <w:r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, обезбеђивање техничког особља на штанду за време трајања сајма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као и друге услуге наведене у Техничкој спецификацији под тачком 2.2.</w:t>
            </w:r>
            <w:r w:rsidR="006776D2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подтачком 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3</w:t>
            </w:r>
            <w:r w:rsidR="006776D2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),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б</w:t>
            </w:r>
            <w:r w:rsidR="006776D2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, в</w:t>
            </w:r>
            <w:r w:rsidR="006776D2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, г</w:t>
            </w:r>
            <w:r w:rsidR="006776D2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  <w:r w:rsidR="00560F9F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и д</w:t>
            </w:r>
            <w:r w:rsidR="006776D2" w:rsidRPr="00F83C6B">
              <w:rPr>
                <w:rFonts w:ascii="Times New Roman" w:hAnsi="Times New Roman"/>
                <w:sz w:val="18"/>
                <w:szCs w:val="18"/>
                <w:lang w:val="sr-Cyrl-RS"/>
              </w:rPr>
              <w:t>))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EAAAA"/>
            <w:vAlign w:val="center"/>
            <w:hideMark/>
          </w:tcPr>
          <w:p w14:paraId="2D79A52B" w14:textId="42E519EC" w:rsidR="007470E9" w:rsidRPr="00A62E1C" w:rsidRDefault="007470E9" w:rsidP="005057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2E1C">
              <w:rPr>
                <w:rFonts w:ascii="Times New Roman" w:eastAsia="Arial Unicode MS" w:hAnsi="Times New Roman"/>
                <w:b/>
                <w:kern w:val="1"/>
                <w:sz w:val="18"/>
                <w:szCs w:val="18"/>
                <w:lang w:val="sr-Cyrl-RS" w:eastAsia="ar-SA"/>
              </w:rPr>
              <w:t xml:space="preserve">Цена за </w:t>
            </w:r>
            <w:r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  <w:r w:rsidRPr="00A62E1C">
              <w:rPr>
                <w:rFonts w:ascii="Times New Roman" w:eastAsia="Arial Unicode MS" w:hAnsi="Times New Roman"/>
                <w:b/>
                <w:kern w:val="1"/>
                <w:sz w:val="18"/>
                <w:szCs w:val="18"/>
                <w:lang w:val="sr-Cyrl-RS" w:eastAsia="ar-SA"/>
              </w:rPr>
              <w:t>маркетиншке активности</w:t>
            </w:r>
            <w:r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  <w:r w:rsid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en-US" w:eastAsia="ar-SA"/>
              </w:rPr>
              <w:t>(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припрема и израда комплетног креативног концепта наступа на сваком сајму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eastAsia="ar-SA"/>
              </w:rPr>
              <w:t xml:space="preserve">,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израда идејног решења слогана и носећег визуала за сајам, израда визуелног решења и припрема штампаних материјала у складу са инструкцијама Наручиоца, припрема комплетног креативног концепта сајамског наступа у сарадњи са Наручиоцем и према потребама излагача продукција видео материјала, израда завршне анимације за видео материјале излагача едитовање, развијање концепта за активацију на националном штанду, развијање апликације за потребе активације на штанду</w:t>
            </w:r>
            <w:r w:rsidR="00081F53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-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дизајн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Latn-RS" w:eastAsia="ar-SA"/>
              </w:rPr>
              <w:t xml:space="preserve">layout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апликације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Latn-RS" w:eastAsia="ar-SA"/>
              </w:rPr>
              <w:t xml:space="preserve">,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развијање апликације за потребе активације на штанду</w:t>
            </w:r>
            <w:r w:rsidR="00081F53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-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програмирање, продукција материјала за активацију на штанду, снимање и монтажа материјала излага</w:t>
            </w:r>
            <w:r w:rsid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ч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а,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израда визуеленог решења и припрема за штампу сајамске брошуре, израда кратких промотивних филмова излагача за потребе израде активације на штанду, израда методологије и смерница за израду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eastAsia="ar-SA"/>
              </w:rPr>
              <w:t xml:space="preserve"> VR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 презентација као и израда презентација у 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eastAsia="ar-SA"/>
              </w:rPr>
              <w:t>VR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технологији за потребе сајма,  израда плана промоције, информисање стручне јавности у иностранству путем медија, организација промотивних активности за медије на сајму (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eastAsia="ar-SA"/>
              </w:rPr>
              <w:t>media briefing)</w:t>
            </w:r>
            <w:r w:rsidR="00A62E1C"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као и друге услуге наведене у Техничкој специфкацији под тачком 2.2. подтачком 1) и 2))</w:t>
            </w:r>
            <w:r w:rsidRPr="00A62E1C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EAAAA"/>
          </w:tcPr>
          <w:p w14:paraId="2EC23831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6BF273E9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4F558FC1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2078BE59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532B3100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1C247A77" w14:textId="728B6791" w:rsidR="007470E9" w:rsidRDefault="007470E9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  <w:r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Цена  израде идејног </w:t>
            </w:r>
            <w:r w:rsidR="00AD12EF"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и визуелног </w:t>
            </w:r>
            <w:r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решења штанда </w:t>
            </w: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(израда идејног</w:t>
            </w:r>
            <w:r w:rsidR="00E37DFF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  <w:r w:rsidR="00BF3216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и визуелног </w:t>
            </w:r>
            <w:r w:rsidR="00E37DFF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решења и графичких елемената</w:t>
            </w: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  <w:r w:rsidR="00E37DFF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штанда</w:t>
            </w: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и техничка разрада, </w:t>
            </w:r>
            <w:r w:rsidR="007B2B7E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израда идејног пројекта, </w:t>
            </w: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израда 3Д модела са распоредом излагача</w:t>
            </w:r>
            <w:r w:rsidR="00BF3216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као </w:t>
            </w: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и остале активности у вези са дизајном штанда</w:t>
            </w:r>
            <w:r w:rsidR="00BF3216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наведене у Техничкој сп</w:t>
            </w:r>
            <w:r w:rsidR="00560F9F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ецификацији под тачком 2.2.</w:t>
            </w:r>
            <w:r w:rsidR="006776D2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подтачком 3), а))</w:t>
            </w:r>
            <w:r w:rsidRPr="00F83C6B">
              <w:rPr>
                <w:rFonts w:ascii="Times New Roman" w:eastAsia="Arial Unicode MS" w:hAnsi="Times New Roman"/>
                <w:kern w:val="1"/>
                <w:lang w:val="sr-Cyrl-RS" w:eastAsia="ar-SA"/>
              </w:rPr>
              <w:t xml:space="preserve"> </w:t>
            </w:r>
          </w:p>
          <w:p w14:paraId="0B6CD4B0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409BA040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474525E8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27FCFA7D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545EA540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025144AF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4C0185CB" w14:textId="77777777" w:rsidR="00A62E1C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lang w:val="sr-Cyrl-RS" w:eastAsia="ar-SA"/>
              </w:rPr>
            </w:pPr>
          </w:p>
          <w:p w14:paraId="3B03B095" w14:textId="02C49E82" w:rsidR="00A62E1C" w:rsidRPr="00F83C6B" w:rsidRDefault="00A62E1C" w:rsidP="007B2B7E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AAAA"/>
          </w:tcPr>
          <w:p w14:paraId="179A06F8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0B0A0C79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1B8D3029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127D6333" w14:textId="77777777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6F5347E2" w14:textId="7403A910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  <w:r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Максималн</w:t>
            </w:r>
            <w:r w:rsidR="0098690B"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е</w:t>
            </w:r>
            <w:r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понуђен</w:t>
            </w:r>
            <w:r w:rsidR="0098690B"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е</w:t>
            </w:r>
            <w:r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цен</w:t>
            </w:r>
            <w:r w:rsidR="0098690B"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е</w:t>
            </w:r>
            <w:r w:rsidRPr="00F83C6B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без ПДВ-а</w:t>
            </w:r>
          </w:p>
          <w:p w14:paraId="68F99752" w14:textId="4B85277E" w:rsidR="007470E9" w:rsidRPr="00F83C6B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</w:pP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(</w:t>
            </w:r>
            <w:r w:rsidR="00192375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Цена израде идејног и визуелног решења штанда без ПДВ-а наведена у колони 5.</w:t>
            </w:r>
            <w:r w:rsidR="00CB435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 </w:t>
            </w:r>
            <w:r w:rsidR="00192375"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 xml:space="preserve">и </w:t>
            </w:r>
            <w:r w:rsidRPr="00F83C6B">
              <w:rPr>
                <w:rFonts w:ascii="Times New Roman" w:eastAsia="Arial Unicode MS" w:hAnsi="Times New Roman"/>
                <w:kern w:val="1"/>
                <w:sz w:val="18"/>
                <w:szCs w:val="18"/>
                <w:lang w:val="sr-Cyrl-RS" w:eastAsia="ar-SA"/>
              </w:rPr>
              <w:t>збир цена без ПДВ-а наведених у колони 3, 4 и 5 за сваки сајам појединачно, не могу бити веће од овде наведених максималних понуђених цена без ПДВ-а)</w:t>
            </w:r>
          </w:p>
        </w:tc>
      </w:tr>
      <w:tr w:rsidR="00804728" w:rsidRPr="00EF16E2" w14:paraId="0AA7757D" w14:textId="77777777" w:rsidTr="00804728">
        <w:trPr>
          <w:trHeight w:val="50"/>
        </w:trPr>
        <w:tc>
          <w:tcPr>
            <w:tcW w:w="53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090AAB3B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88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7957B359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4885106" w14:textId="77777777" w:rsidR="007470E9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5D4A53">
              <w:rPr>
                <w:rFonts w:ascii="Times New Roman" w:hAnsi="Times New Roman"/>
                <w:b/>
                <w:lang w:val="sr-Cyrl-RS"/>
              </w:rPr>
              <w:t>Цена и</w:t>
            </w:r>
            <w:proofErr w:type="spellStart"/>
            <w:r w:rsidRPr="005D4A53">
              <w:rPr>
                <w:rFonts w:ascii="Times New Roman" w:hAnsi="Times New Roman"/>
                <w:b/>
              </w:rPr>
              <w:t>зрад</w:t>
            </w:r>
            <w:proofErr w:type="spellEnd"/>
            <w:r w:rsidRPr="005D4A53">
              <w:rPr>
                <w:rFonts w:ascii="Times New Roman" w:hAnsi="Times New Roman"/>
                <w:b/>
                <w:lang w:val="sr-Cyrl-RS"/>
              </w:rPr>
              <w:t xml:space="preserve">е, монтаже, </w:t>
            </w:r>
            <w:proofErr w:type="spellStart"/>
            <w:r w:rsidRPr="005D4A53">
              <w:rPr>
                <w:rFonts w:ascii="Times New Roman" w:hAnsi="Times New Roman"/>
                <w:b/>
              </w:rPr>
              <w:t>опремањ</w:t>
            </w:r>
            <w:proofErr w:type="spellEnd"/>
            <w:r w:rsidRPr="005D4A53">
              <w:rPr>
                <w:rFonts w:ascii="Times New Roman" w:hAnsi="Times New Roman"/>
                <w:b/>
                <w:lang w:val="sr-Cyrl-RS"/>
              </w:rPr>
              <w:t>а</w:t>
            </w:r>
            <w:r w:rsidRPr="005D4A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A53">
              <w:rPr>
                <w:rFonts w:ascii="Times New Roman" w:hAnsi="Times New Roman"/>
                <w:b/>
              </w:rPr>
              <w:t>штанда</w:t>
            </w:r>
            <w:proofErr w:type="spellEnd"/>
            <w:r w:rsidRPr="005D4A53">
              <w:rPr>
                <w:rFonts w:ascii="Times New Roman" w:hAnsi="Times New Roman"/>
                <w:b/>
              </w:rPr>
              <w:t xml:space="preserve"> </w:t>
            </w:r>
            <w:r w:rsidRPr="005D4A53">
              <w:rPr>
                <w:rFonts w:ascii="Times New Roman" w:hAnsi="Times New Roman"/>
                <w:b/>
                <w:lang w:val="sr-Cyrl-RS"/>
              </w:rPr>
              <w:t>и демонтаже</w:t>
            </w:r>
            <w:r>
              <w:rPr>
                <w:rFonts w:ascii="Times New Roman" w:hAnsi="Times New Roman"/>
                <w:b/>
                <w:lang w:val="sr-Cyrl-RS"/>
              </w:rPr>
              <w:t xml:space="preserve"> без ПДВ-а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6C991809" w14:textId="77777777" w:rsidR="007470E9" w:rsidRDefault="007470E9" w:rsidP="00E202E4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5D4A53">
              <w:rPr>
                <w:rFonts w:ascii="Times New Roman" w:hAnsi="Times New Roman"/>
                <w:b/>
                <w:lang w:val="sr-Cyrl-RS"/>
              </w:rPr>
              <w:t>Цена и</w:t>
            </w:r>
            <w:proofErr w:type="spellStart"/>
            <w:r w:rsidRPr="005D4A53">
              <w:rPr>
                <w:rFonts w:ascii="Times New Roman" w:hAnsi="Times New Roman"/>
                <w:b/>
              </w:rPr>
              <w:t>зрад</w:t>
            </w:r>
            <w:proofErr w:type="spellEnd"/>
            <w:r w:rsidRPr="005D4A53">
              <w:rPr>
                <w:rFonts w:ascii="Times New Roman" w:hAnsi="Times New Roman"/>
                <w:b/>
                <w:lang w:val="sr-Cyrl-RS"/>
              </w:rPr>
              <w:t xml:space="preserve">е, монтаже, </w:t>
            </w:r>
            <w:proofErr w:type="spellStart"/>
            <w:r w:rsidRPr="005D4A53">
              <w:rPr>
                <w:rFonts w:ascii="Times New Roman" w:hAnsi="Times New Roman"/>
                <w:b/>
              </w:rPr>
              <w:t>опремањ</w:t>
            </w:r>
            <w:proofErr w:type="spellEnd"/>
            <w:r w:rsidRPr="005D4A53">
              <w:rPr>
                <w:rFonts w:ascii="Times New Roman" w:hAnsi="Times New Roman"/>
                <w:b/>
                <w:lang w:val="sr-Cyrl-RS"/>
              </w:rPr>
              <w:t>а</w:t>
            </w:r>
            <w:r w:rsidRPr="005D4A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A53">
              <w:rPr>
                <w:rFonts w:ascii="Times New Roman" w:hAnsi="Times New Roman"/>
                <w:b/>
              </w:rPr>
              <w:t>штанда</w:t>
            </w:r>
            <w:proofErr w:type="spellEnd"/>
            <w:r w:rsidRPr="005D4A53">
              <w:rPr>
                <w:rFonts w:ascii="Times New Roman" w:hAnsi="Times New Roman"/>
                <w:b/>
              </w:rPr>
              <w:t xml:space="preserve"> </w:t>
            </w:r>
            <w:r w:rsidRPr="005D4A53">
              <w:rPr>
                <w:rFonts w:ascii="Times New Roman" w:hAnsi="Times New Roman"/>
                <w:b/>
                <w:lang w:val="sr-Cyrl-RS"/>
              </w:rPr>
              <w:t>и демонтаже</w:t>
            </w:r>
            <w:r>
              <w:rPr>
                <w:rFonts w:ascii="Times New Roman" w:hAnsi="Times New Roman"/>
                <w:b/>
                <w:lang w:val="sr-Cyrl-RS"/>
              </w:rPr>
              <w:t xml:space="preserve"> са ПДВ-ом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C0EB3" w14:textId="77777777" w:rsidR="007470E9" w:rsidRPr="009344DF" w:rsidRDefault="007470E9" w:rsidP="00E202E4">
            <w:pPr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  <w:r w:rsidRPr="009344DF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Цена за </w:t>
            </w:r>
            <w:r w:rsidRPr="00FB5E4F">
              <w:rPr>
                <w:rFonts w:ascii="Times New Roman" w:eastAsia="Arial Unicode MS" w:hAnsi="Times New Roman"/>
                <w:kern w:val="1"/>
                <w:lang w:val="sr-Cyrl-RS" w:eastAsia="ar-SA"/>
              </w:rPr>
              <w:t xml:space="preserve"> </w:t>
            </w:r>
            <w:r w:rsidRPr="003E7405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маркетиншке активности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без ПДВ-а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430CC590" w14:textId="54F561BA" w:rsidR="007470E9" w:rsidRPr="009344DF" w:rsidRDefault="007470E9" w:rsidP="00E202E4">
            <w:pPr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  <w:r w:rsidRPr="009344DF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Цена за </w:t>
            </w:r>
            <w:r w:rsidRPr="00FB5E4F">
              <w:rPr>
                <w:rFonts w:ascii="Times New Roman" w:eastAsia="Arial Unicode MS" w:hAnsi="Times New Roman"/>
                <w:kern w:val="1"/>
                <w:lang w:val="sr-Cyrl-RS" w:eastAsia="ar-SA"/>
              </w:rPr>
              <w:t xml:space="preserve"> </w:t>
            </w:r>
            <w:r w:rsidRPr="003E7405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маркетиншке активности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са ПД</w:t>
            </w:r>
            <w:r w:rsidR="007050EE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В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-ом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/>
          </w:tcPr>
          <w:p w14:paraId="5C040BAA" w14:textId="77777777" w:rsidR="007470E9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2240573F" w14:textId="77777777" w:rsidR="007470E9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  <w:r w:rsidRPr="00F65415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Цена  израде идејног </w:t>
            </w:r>
            <w:r w:rsidR="00F13CBC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и визуелног </w:t>
            </w:r>
            <w:r w:rsidRPr="00F65415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решења штанда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без ПДВ-а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</w:tcPr>
          <w:p w14:paraId="195FC13D" w14:textId="77777777" w:rsidR="007470E9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0985013A" w14:textId="77777777" w:rsidR="007470E9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  <w:r w:rsidRPr="00F65415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Цена  израде идејног </w:t>
            </w:r>
            <w:r w:rsidR="00F13CBC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и визуелног </w:t>
            </w:r>
            <w:r w:rsidRPr="00F65415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решења штанда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са ПДВ-ом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</w:tcPr>
          <w:p w14:paraId="4E8CCD29" w14:textId="77777777" w:rsidR="007470E9" w:rsidRPr="009960BF" w:rsidRDefault="007470E9" w:rsidP="00E202E4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highlight w:val="yellow"/>
                <w:lang w:val="sr-Cyrl-RS" w:eastAsia="ar-SA"/>
              </w:rPr>
            </w:pPr>
          </w:p>
        </w:tc>
      </w:tr>
      <w:tr w:rsidR="00B7369D" w:rsidRPr="006E214F" w14:paraId="350C755D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BC0A" w14:textId="26FE2B25" w:rsidR="00B7369D" w:rsidRDefault="00893CEF" w:rsidP="00B7369D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</w:t>
            </w:r>
            <w:r w:rsidR="00B7369D">
              <w:rPr>
                <w:rFonts w:ascii="Times New Roman" w:hAnsi="Times New Roman"/>
                <w:b/>
                <w:bCs/>
                <w:lang w:val="sr-Cyrl-RS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18088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C16CB">
              <w:rPr>
                <w:rFonts w:ascii="Times New Roman" w:hAnsi="Times New Roman"/>
                <w:b/>
                <w:lang w:val="sr-Cyrl-RS"/>
              </w:rPr>
              <w:t>Међународни сајам привреде</w:t>
            </w:r>
          </w:p>
          <w:p w14:paraId="1C7CC464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E1C7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08B00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54A5" w14:textId="7C098118" w:rsidR="00B7369D" w:rsidRPr="00B7369D" w:rsidRDefault="00B7369D" w:rsidP="00B7369D">
            <w:pPr>
              <w:jc w:val="center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90905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BDECF" w14:textId="25D9E62E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6471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617B2" w14:textId="283DD9F9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 (колона 5.)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не може бити већа од 300.000,00 динара без ПДВ-а.</w:t>
            </w:r>
          </w:p>
          <w:p w14:paraId="308D3A90" w14:textId="6FEEA760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Збир понуђених цена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наведених у  колони 3, 4 и 5, у реду број </w:t>
            </w:r>
            <w:r w:rsidR="007050EE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B7369D" w:rsidRPr="006E214F" w14:paraId="52FFBDAF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F3C77" w14:textId="7FC9F823" w:rsidR="00B7369D" w:rsidRDefault="00893CEF" w:rsidP="00B7369D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="00B7369D">
              <w:rPr>
                <w:rFonts w:ascii="Times New Roman" w:hAnsi="Times New Roman"/>
                <w:b/>
                <w:bCs/>
                <w:lang w:val="sr-Cyrl-RS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F663E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r w:rsidRPr="007C16CB">
              <w:rPr>
                <w:rFonts w:ascii="Times New Roman" w:hAnsi="Times New Roman"/>
                <w:b/>
              </w:rPr>
              <w:t>PLMA</w:t>
            </w:r>
          </w:p>
          <w:p w14:paraId="3CC2172A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F7A66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9A94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25F6" w14:textId="13AA5FAC" w:rsidR="00B7369D" w:rsidRPr="00B7369D" w:rsidRDefault="00B7369D" w:rsidP="00B7369D">
            <w:pPr>
              <w:jc w:val="center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7347F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B5CB" w14:textId="3360468F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F56E" w14:textId="77777777" w:rsidR="00B7369D" w:rsidRPr="00123B0C" w:rsidRDefault="00B7369D" w:rsidP="00B7369D">
            <w:pPr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7C808" w14:textId="6F0BB41E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не може бити већа од 360.000,00 динара без ПДВ-а.</w:t>
            </w:r>
          </w:p>
          <w:p w14:paraId="668337C7" w14:textId="2E8B66D3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наведених у  колони 3, 4 и 5, у реду број </w:t>
            </w:r>
            <w:r w:rsidR="007050EE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2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B7369D" w:rsidRPr="006E214F" w14:paraId="6F8B3DC3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CE19" w14:textId="024164C8" w:rsidR="00B7369D" w:rsidRDefault="00893CEF" w:rsidP="00B736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3</w:t>
            </w:r>
            <w:r w:rsidR="00B7369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61A9" w14:textId="77777777" w:rsidR="00B7369D" w:rsidRPr="00A93593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r w:rsidRPr="00A93593">
              <w:rPr>
                <w:rFonts w:ascii="Times New Roman" w:hAnsi="Times New Roman"/>
                <w:b/>
              </w:rPr>
              <w:t>AUTOMECHANIKA</w:t>
            </w:r>
          </w:p>
          <w:p w14:paraId="697E5C4B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A986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5252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5E90F" w14:textId="0A250DE6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AB30C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C1F4" w14:textId="55B6877D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48B60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F993E" w14:textId="19A5FE6B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не може бити већа од 360.000,00 динара без ПДВ-а.</w:t>
            </w:r>
          </w:p>
          <w:p w14:paraId="34B3C4A2" w14:textId="0BBD5223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3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833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B7369D" w:rsidRPr="006E214F" w14:paraId="171CDABE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D438C" w14:textId="21C40F1F" w:rsidR="00B7369D" w:rsidRDefault="00893CEF" w:rsidP="00B736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="00B7369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264E" w14:textId="77777777" w:rsidR="00B7369D" w:rsidRPr="00A93593" w:rsidRDefault="00B7369D" w:rsidP="00B7369D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A93593">
              <w:rPr>
                <w:rFonts w:ascii="Times New Roman" w:hAnsi="Times New Roman"/>
                <w:b/>
              </w:rPr>
              <w:t>ANUGA</w:t>
            </w:r>
          </w:p>
          <w:p w14:paraId="06BB4D04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3B4A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5F7F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E45" w14:textId="4A92DDD0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0C74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B19A" w14:textId="5678B72D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5DB4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205A9" w14:textId="7025240E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не може бити већа од 360.000,00 динара без ПДВ-а.</w:t>
            </w:r>
          </w:p>
          <w:p w14:paraId="52E7866D" w14:textId="35AA4D80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4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B7369D" w:rsidRPr="006E214F" w14:paraId="44F2E9B4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6804" w14:textId="7984D028" w:rsidR="00B7369D" w:rsidRDefault="00893CEF" w:rsidP="00B736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5</w:t>
            </w:r>
            <w:r w:rsidR="00B7369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35C0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r w:rsidRPr="00A93593">
              <w:rPr>
                <w:rFonts w:ascii="Times New Roman" w:hAnsi="Times New Roman"/>
                <w:b/>
              </w:rPr>
              <w:t>China International Import Expo- CIIE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1C77D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DDDB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D10" w14:textId="7F54434F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A29F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F965D" w14:textId="558D31BB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3723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2158" w14:textId="69201FAD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не може бити већа од 360.000,00 динара без ПДВ-а.</w:t>
            </w:r>
          </w:p>
          <w:p w14:paraId="17983340" w14:textId="342D448D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динара без ПДВ-а</w:t>
            </w:r>
          </w:p>
        </w:tc>
      </w:tr>
      <w:tr w:rsidR="00B7369D" w:rsidRPr="006E214F" w14:paraId="419860A6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74DC" w14:textId="773292B4" w:rsidR="00B7369D" w:rsidRDefault="00893CEF" w:rsidP="00B736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="00B7369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BE6ED" w14:textId="77777777" w:rsidR="00B7369D" w:rsidRPr="00A93593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r w:rsidRPr="00A93593">
              <w:rPr>
                <w:rFonts w:ascii="Times New Roman" w:hAnsi="Times New Roman"/>
                <w:b/>
              </w:rPr>
              <w:t>PLMA CHICAGO</w:t>
            </w:r>
          </w:p>
          <w:p w14:paraId="1676E51F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r w:rsidRPr="00A93593">
              <w:rPr>
                <w:rFonts w:ascii="Times New Roman" w:hAnsi="Times New Roman"/>
                <w:b/>
              </w:rPr>
              <w:t xml:space="preserve">US Private Label </w:t>
            </w:r>
            <w:r>
              <w:rPr>
                <w:rFonts w:ascii="Times New Roman" w:hAnsi="Times New Roman"/>
                <w:b/>
                <w:lang w:val="sr-Latn-RS"/>
              </w:rPr>
              <w:t xml:space="preserve">Trade </w:t>
            </w:r>
            <w:r w:rsidRPr="00A93593">
              <w:rPr>
                <w:rFonts w:ascii="Times New Roman" w:hAnsi="Times New Roman"/>
                <w:b/>
              </w:rPr>
              <w:t>Show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A0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5843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D4D6" w14:textId="5EA72A3A" w:rsidR="00B7369D" w:rsidRPr="00B7369D" w:rsidRDefault="00B7369D" w:rsidP="00B7369D">
            <w:pPr>
              <w:jc w:val="center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EF0E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D9B6" w14:textId="641C4E2F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2C4B5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B385" w14:textId="55512EC8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не може бити већа од 180.000,00 динара без ПДВ-а.</w:t>
            </w:r>
          </w:p>
          <w:p w14:paraId="1DF0FFF7" w14:textId="2D8490E1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6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B7369D" w:rsidRPr="006E214F" w14:paraId="4CD74D4C" w14:textId="77777777" w:rsidTr="0083475E">
        <w:trPr>
          <w:trHeight w:val="8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0A9CF" w14:textId="6A32ED1D" w:rsidR="00B7369D" w:rsidRDefault="00893CEF" w:rsidP="00B736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7</w:t>
            </w:r>
            <w:r w:rsidR="00B7369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D8D8" w14:textId="77777777" w:rsidR="00EB089C" w:rsidRDefault="00EB089C" w:rsidP="00B7369D">
            <w:pPr>
              <w:jc w:val="center"/>
              <w:rPr>
                <w:rFonts w:ascii="Times New Roman" w:hAnsi="Times New Roman"/>
                <w:b/>
              </w:rPr>
            </w:pPr>
          </w:p>
          <w:p w14:paraId="333F1416" w14:textId="0B14CA2D" w:rsidR="00B7369D" w:rsidRPr="00A93593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r w:rsidRPr="00A93593">
              <w:rPr>
                <w:rFonts w:ascii="Times New Roman" w:hAnsi="Times New Roman"/>
                <w:b/>
              </w:rPr>
              <w:t>PROWINE CHINA</w:t>
            </w:r>
          </w:p>
          <w:p w14:paraId="15F25813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A0B4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DE07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74B4" w14:textId="4E0BEF13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A0625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6A5F" w14:textId="1A836CFB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8972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51EB" w14:textId="2549EAAD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не може бити већа од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300.000,00 динара без ПДВ-а.</w:t>
            </w:r>
          </w:p>
          <w:p w14:paraId="7F788019" w14:textId="54EABC76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7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  <w:r w:rsidR="00CE7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CE7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B7369D" w:rsidRPr="006E214F" w14:paraId="0C1077D8" w14:textId="77777777" w:rsidTr="0083475E">
        <w:trPr>
          <w:trHeight w:val="20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2D27" w14:textId="3EBF56C4" w:rsidR="00B7369D" w:rsidRDefault="00893CEF" w:rsidP="00B736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8</w:t>
            </w:r>
            <w:r w:rsidR="00B7369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3B7C" w14:textId="77777777" w:rsidR="00B7369D" w:rsidRPr="00A93593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93593">
              <w:rPr>
                <w:rFonts w:ascii="Times New Roman" w:hAnsi="Times New Roman"/>
                <w:b/>
              </w:rPr>
              <w:t>Agritechnica</w:t>
            </w:r>
            <w:proofErr w:type="spellEnd"/>
          </w:p>
          <w:p w14:paraId="5A48E9E0" w14:textId="77777777" w:rsidR="00B7369D" w:rsidRPr="007C16CB" w:rsidRDefault="00B7369D" w:rsidP="00B736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0A72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A899C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E097B" w14:textId="3ADF9D58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6510" w14:textId="77777777" w:rsidR="00B7369D" w:rsidRPr="00EF16E2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E530" w14:textId="6047606B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03C20" w14:textId="77777777" w:rsidR="00B7369D" w:rsidRDefault="00B7369D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8D09" w14:textId="3523140D" w:rsidR="00192375" w:rsidRPr="001141B5" w:rsidRDefault="0019237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не може бити већа од 300.000,00 динара без ПДВ-а.</w:t>
            </w:r>
          </w:p>
          <w:p w14:paraId="74AF81B8" w14:textId="6BD3E2DF" w:rsidR="00B7369D" w:rsidRPr="001141B5" w:rsidRDefault="00B7369D" w:rsidP="00B736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без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8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893CEF" w:rsidRPr="006E214F" w14:paraId="1BCCC7B7" w14:textId="77777777" w:rsidTr="00EB089C">
        <w:trPr>
          <w:trHeight w:val="1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D5052" w14:textId="6A9EB8D4" w:rsidR="00893CEF" w:rsidRDefault="00893CEF" w:rsidP="00B7369D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9.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F58A5" w14:textId="020889D3" w:rsidR="00893CEF" w:rsidRPr="00893CEF" w:rsidRDefault="00893CEF" w:rsidP="00F83C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7945" w14:textId="77777777" w:rsidR="00893CEF" w:rsidRDefault="00893CEF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14946" w14:textId="77777777" w:rsidR="00893CEF" w:rsidRDefault="00893CEF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C9FD" w14:textId="77777777" w:rsidR="00893CEF" w:rsidRPr="00EF16E2" w:rsidRDefault="00893CEF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B44C" w14:textId="77777777" w:rsidR="00893CEF" w:rsidRPr="00EF16E2" w:rsidRDefault="00893CEF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282BA" w14:textId="77777777" w:rsidR="00893CEF" w:rsidRDefault="00893CEF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FF7A" w14:textId="77777777" w:rsidR="00893CEF" w:rsidRDefault="00893CEF" w:rsidP="00B7369D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17AD" w14:textId="053F7AEE" w:rsidR="006853D6" w:rsidRDefault="006853D6" w:rsidP="006853D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Цена израде идејног и визуелно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г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решења штанда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без ПДВ-а (колона 5.)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не може бити већа од 300.000,00 динара без ПДВ-а.</w:t>
            </w:r>
          </w:p>
          <w:p w14:paraId="337E9FFF" w14:textId="28C5EC90" w:rsidR="00EB089C" w:rsidRPr="00EB089C" w:rsidRDefault="001141B5" w:rsidP="0019237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Збир понуђених цена</w:t>
            </w:r>
            <w:r w:rsidR="002A3F27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бе ПДВ-а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наведених у  колони 3, 4 и 5, у 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 xml:space="preserve">реду број </w:t>
            </w:r>
            <w:r w:rsidR="0051769B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не може бити већи од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  <w:r w:rsidR="00CE7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CE7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Pr="00114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  <w:r w:rsidRPr="001141B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динара без ПДВ-а</w:t>
            </w:r>
          </w:p>
        </w:tc>
      </w:tr>
      <w:tr w:rsidR="00804728" w:rsidRPr="006E214F" w14:paraId="7D4DF249" w14:textId="77777777" w:rsidTr="00804728">
        <w:trPr>
          <w:trHeight w:val="697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ED240A7" w14:textId="54D6818C" w:rsidR="007470E9" w:rsidRPr="00C86171" w:rsidRDefault="001C1BB8" w:rsidP="00053770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0</w:t>
            </w:r>
            <w:r w:rsidR="007470E9">
              <w:rPr>
                <w:rFonts w:ascii="Times New Roman" w:hAnsi="Times New Roman"/>
                <w:b/>
                <w:bCs/>
              </w:rPr>
              <w:t>.</w:t>
            </w:r>
            <w:r w:rsidR="007470E9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="007470E9" w:rsidRPr="00C86171">
              <w:rPr>
                <w:rFonts w:ascii="Times New Roman" w:hAnsi="Times New Roman"/>
                <w:b/>
                <w:bCs/>
                <w:lang w:val="sr-Cyrl-RS"/>
              </w:rPr>
              <w:t>Укупна цена</w:t>
            </w:r>
            <w:r w:rsidR="007470E9">
              <w:rPr>
                <w:rFonts w:ascii="Times New Roman" w:hAnsi="Times New Roman"/>
                <w:bCs/>
                <w:lang w:val="sr-Cyrl-RS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0746CC" w14:textId="77777777" w:rsidR="007470E9" w:rsidRDefault="007470E9" w:rsidP="00E202E4">
            <w:pPr>
              <w:jc w:val="center"/>
              <w:rPr>
                <w:rFonts w:ascii="Times New Roman" w:hAnsi="Times New Roman"/>
                <w:bCs/>
                <w:lang w:val="uz-Cyrl-UZ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Укупна цена 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без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ПДВ-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33CAF7" w14:textId="77777777" w:rsidR="007470E9" w:rsidRDefault="007470E9" w:rsidP="00E202E4">
            <w:pPr>
              <w:jc w:val="center"/>
              <w:rPr>
                <w:rFonts w:ascii="Times New Roman" w:hAnsi="Times New Roman"/>
                <w:bCs/>
                <w:lang w:val="uz-Cyrl-UZ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Укупна цена 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са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ПДВ-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ом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FE2AD0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Укупна цена 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без 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ПДВ-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BBD5989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Укупна цена 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са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ПДВ-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ом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20ACDE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Укупна цена 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без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ПДВ-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94A127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Укупна цена 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са</w:t>
            </w: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 xml:space="preserve"> ПДВ-</w:t>
            </w:r>
            <w:r w:rsidR="00381B1D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AF75392" w14:textId="77777777" w:rsidR="007470E9" w:rsidRPr="006E214F" w:rsidRDefault="007470E9" w:rsidP="00E202E4">
            <w:pPr>
              <w:jc w:val="center"/>
              <w:rPr>
                <w:rFonts w:ascii="Times New Roman" w:hAnsi="Times New Roman"/>
                <w:bCs/>
                <w:highlight w:val="yellow"/>
                <w:lang w:val="sr-Cyrl-RS"/>
              </w:rPr>
            </w:pPr>
          </w:p>
        </w:tc>
      </w:tr>
      <w:tr w:rsidR="00804728" w:rsidRPr="00EF16E2" w14:paraId="0B4C21FD" w14:textId="77777777" w:rsidTr="00804728">
        <w:trPr>
          <w:trHeight w:val="697"/>
        </w:trPr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54CA3D" w14:textId="77777777" w:rsidR="007470E9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DF5967" w14:textId="77777777" w:rsidR="007470E9" w:rsidRDefault="007470E9" w:rsidP="00E202E4">
            <w:pPr>
              <w:jc w:val="center"/>
              <w:rPr>
                <w:rFonts w:ascii="Times New Roman" w:hAnsi="Times New Roman"/>
                <w:bCs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75BD0E" w14:textId="77777777" w:rsidR="007470E9" w:rsidRDefault="007470E9" w:rsidP="00E202E4">
            <w:pPr>
              <w:jc w:val="center"/>
              <w:rPr>
                <w:rFonts w:ascii="Times New Roman" w:hAnsi="Times New Roman"/>
                <w:bCs/>
                <w:lang w:val="uz-Cyrl-U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E286A6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8544980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47A03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1975A5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EC30965" w14:textId="77777777" w:rsidR="007470E9" w:rsidRPr="00EF16E2" w:rsidRDefault="007470E9" w:rsidP="00E202E4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14:paraId="02C0A687" w14:textId="77777777" w:rsidR="00E26007" w:rsidRDefault="00E26007"/>
    <w:tbl>
      <w:tblPr>
        <w:tblpPr w:leftFromText="180" w:rightFromText="180" w:bottomFromText="200" w:vertAnchor="text" w:horzAnchor="page" w:tblpX="991" w:tblpY="126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5655"/>
      </w:tblGrid>
      <w:tr w:rsidR="00742127" w:rsidRPr="00EF16E2" w14:paraId="1874DDE6" w14:textId="77777777" w:rsidTr="00742127">
        <w:trPr>
          <w:trHeight w:val="439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3C144B0" w14:textId="77777777" w:rsidR="00742127" w:rsidRPr="009344DF" w:rsidRDefault="00742127" w:rsidP="0074212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44DF">
              <w:rPr>
                <w:rFonts w:ascii="Times New Roman" w:hAnsi="Times New Roman"/>
                <w:b/>
                <w:lang w:val="sr-Cyrl-RS"/>
              </w:rPr>
              <w:t xml:space="preserve">Табела </w:t>
            </w:r>
            <w:r>
              <w:rPr>
                <w:rFonts w:ascii="Times New Roman" w:hAnsi="Times New Roman"/>
                <w:b/>
                <w:lang w:val="sr-Cyrl-RS"/>
              </w:rPr>
              <w:t>2</w:t>
            </w:r>
          </w:p>
        </w:tc>
      </w:tr>
      <w:tr w:rsidR="00742127" w:rsidRPr="00EF16E2" w14:paraId="7C7CE9EE" w14:textId="77777777" w:rsidTr="00742127">
        <w:trPr>
          <w:trHeight w:val="424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F62" w14:textId="77777777" w:rsidR="00742127" w:rsidRPr="008E1E7E" w:rsidRDefault="00742127" w:rsidP="00742127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 xml:space="preserve">Опис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F098" w14:textId="77777777" w:rsidR="00742127" w:rsidRPr="00B60AD7" w:rsidRDefault="00742127" w:rsidP="0074212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Понуда</w:t>
            </w:r>
          </w:p>
        </w:tc>
      </w:tr>
      <w:tr w:rsidR="00742127" w:rsidRPr="00EF16E2" w14:paraId="18DA003E" w14:textId="77777777" w:rsidTr="00742127">
        <w:trPr>
          <w:trHeight w:val="951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32F" w14:textId="77777777" w:rsidR="00742127" w:rsidRPr="00EF16E2" w:rsidRDefault="00742127" w:rsidP="00742127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</w:t>
            </w:r>
            <w:r w:rsidRPr="00CD19BB">
              <w:rPr>
                <w:rFonts w:ascii="Times New Roman" w:hAnsi="Times New Roman"/>
                <w:sz w:val="24"/>
                <w:lang w:val="sr-Cyrl-RS"/>
              </w:rPr>
              <w:t xml:space="preserve">ровизија у процентуалном износу за реализацију услуге која подразумева сарадњу са медијима и закуп медијског 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и рекламног </w:t>
            </w:r>
            <w:r w:rsidRPr="00CD19BB">
              <w:rPr>
                <w:rFonts w:ascii="Times New Roman" w:hAnsi="Times New Roman"/>
                <w:sz w:val="24"/>
                <w:lang w:val="sr-Cyrl-RS"/>
              </w:rPr>
              <w:t>простора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у иностранству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881" w14:textId="77777777" w:rsidR="00742127" w:rsidRDefault="00742127" w:rsidP="00742127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124BCBF5" w14:textId="77777777" w:rsidR="00742127" w:rsidRDefault="00742127" w:rsidP="00742127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  <w:p w14:paraId="00DC273D" w14:textId="77777777" w:rsidR="00742127" w:rsidRPr="00F65415" w:rsidRDefault="00742127" w:rsidP="00742127">
            <w:pPr>
              <w:spacing w:after="6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</w:p>
        </w:tc>
      </w:tr>
    </w:tbl>
    <w:p w14:paraId="7E47FD06" w14:textId="77777777" w:rsidR="00742127" w:rsidRDefault="00742127"/>
    <w:p w14:paraId="2AC2C4DB" w14:textId="77777777" w:rsidR="00742127" w:rsidRDefault="00742127" w:rsidP="0074212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0D06D68F" w14:textId="77777777" w:rsidR="00742127" w:rsidRDefault="00742127" w:rsidP="0074212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5A61ECFC" w14:textId="77777777" w:rsidR="00742127" w:rsidRDefault="00742127" w:rsidP="0074212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79CD72DC" w14:textId="77777777" w:rsidR="00742127" w:rsidRDefault="00742127" w:rsidP="0074212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59BC50AA" w14:textId="77777777" w:rsidR="00742127" w:rsidRDefault="00742127" w:rsidP="0074212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286F7595" w14:textId="77777777" w:rsidR="00742127" w:rsidRDefault="00742127" w:rsidP="0074212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00CFE642" w14:textId="77777777" w:rsidR="001854EC" w:rsidRDefault="001854EC" w:rsidP="00742127">
      <w:pPr>
        <w:rPr>
          <w:rFonts w:ascii="Times New Roman" w:hAnsi="Times New Roman"/>
          <w:iCs/>
          <w:sz w:val="24"/>
          <w:u w:val="single"/>
          <w:lang w:val="sr-Cyrl-RS" w:eastAsia="en-GB"/>
        </w:rPr>
      </w:pPr>
    </w:p>
    <w:p w14:paraId="42C1162B" w14:textId="77777777" w:rsidR="00742127" w:rsidRDefault="00742127" w:rsidP="00742127">
      <w:pPr>
        <w:rPr>
          <w:rFonts w:ascii="Times New Roman" w:hAnsi="Times New Roman"/>
          <w:iCs/>
          <w:sz w:val="24"/>
          <w:u w:val="single"/>
          <w:lang w:val="sr-Cyrl-RS" w:eastAsia="en-GB"/>
        </w:rPr>
      </w:pPr>
      <w:r w:rsidRPr="00E434F0">
        <w:rPr>
          <w:rFonts w:ascii="Times New Roman" w:hAnsi="Times New Roman"/>
          <w:iCs/>
          <w:sz w:val="24"/>
          <w:u w:val="single"/>
          <w:lang w:val="sr-Cyrl-RS" w:eastAsia="en-GB"/>
        </w:rPr>
        <w:t>Упутство за попуњавање Табеле</w:t>
      </w:r>
      <w:r>
        <w:rPr>
          <w:rFonts w:ascii="Times New Roman" w:hAnsi="Times New Roman"/>
          <w:iCs/>
          <w:sz w:val="24"/>
          <w:u w:val="single"/>
          <w:lang w:val="sr-Cyrl-RS" w:eastAsia="en-GB"/>
        </w:rPr>
        <w:t xml:space="preserve"> 1</w:t>
      </w:r>
      <w:r w:rsidRPr="00E434F0">
        <w:rPr>
          <w:rFonts w:ascii="Times New Roman" w:hAnsi="Times New Roman"/>
          <w:iCs/>
          <w:sz w:val="24"/>
          <w:u w:val="single"/>
          <w:lang w:val="sr-Cyrl-RS" w:eastAsia="en-GB"/>
        </w:rPr>
        <w:t>:</w:t>
      </w:r>
    </w:p>
    <w:p w14:paraId="047C3F33" w14:textId="6FB43992" w:rsidR="00742127" w:rsidRPr="00EA29AD" w:rsidRDefault="00742127" w:rsidP="0074212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u w:val="single"/>
          <w:lang w:val="sr-Cyrl-RS" w:eastAsia="en-GB"/>
        </w:rPr>
      </w:pPr>
      <w:r w:rsidRPr="007E4A59">
        <w:rPr>
          <w:rFonts w:ascii="Times New Roman" w:eastAsia="TimesNewRomanPSMT" w:hAnsi="Times New Roman"/>
          <w:bCs/>
          <w:sz w:val="24"/>
          <w:lang w:val="sr-Cyrl-RS"/>
        </w:rPr>
        <w:t xml:space="preserve">у редове број 1, </w:t>
      </w:r>
      <w:r w:rsidR="00B75738">
        <w:rPr>
          <w:rFonts w:ascii="Times New Roman" w:eastAsia="TimesNewRomanPSMT" w:hAnsi="Times New Roman"/>
          <w:bCs/>
          <w:sz w:val="24"/>
          <w:lang w:val="sr-Cyrl-RS"/>
        </w:rPr>
        <w:t>2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>,</w:t>
      </w:r>
      <w:r>
        <w:rPr>
          <w:rFonts w:ascii="Times New Roman" w:eastAsia="TimesNewRomanPSMT" w:hAnsi="Times New Roman"/>
          <w:bCs/>
          <w:sz w:val="24"/>
          <w:lang w:val="sr-Latn-RS"/>
        </w:rPr>
        <w:t xml:space="preserve"> 3, 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>4, 5</w:t>
      </w:r>
      <w:r>
        <w:rPr>
          <w:rFonts w:ascii="Times New Roman" w:eastAsia="TimesNewRomanPSMT" w:hAnsi="Times New Roman"/>
          <w:bCs/>
          <w:sz w:val="24"/>
          <w:lang w:val="sr-Latn-RS"/>
        </w:rPr>
        <w:t xml:space="preserve">, 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>6</w:t>
      </w:r>
      <w:r>
        <w:rPr>
          <w:rFonts w:ascii="Times New Roman" w:eastAsia="TimesNewRomanPSMT" w:hAnsi="Times New Roman"/>
          <w:bCs/>
          <w:sz w:val="24"/>
          <w:lang w:val="sr-Latn-RS"/>
        </w:rPr>
        <w:t xml:space="preserve">, 7, 8, </w:t>
      </w:r>
      <w:r w:rsidR="001C1BB8">
        <w:rPr>
          <w:rFonts w:ascii="Times New Roman" w:eastAsia="TimesNewRomanPSMT" w:hAnsi="Times New Roman"/>
          <w:bCs/>
          <w:sz w:val="24"/>
          <w:lang w:val="sr-Cyrl-RS"/>
        </w:rPr>
        <w:t>9</w:t>
      </w:r>
      <w:r>
        <w:rPr>
          <w:rFonts w:ascii="Times New Roman" w:eastAsia="TimesNewRomanPSMT" w:hAnsi="Times New Roman"/>
          <w:bCs/>
          <w:sz w:val="24"/>
          <w:lang w:val="sr-Latn-RS"/>
        </w:rPr>
        <w:t xml:space="preserve"> 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>унети цене</w:t>
      </w:r>
      <w:r>
        <w:rPr>
          <w:rFonts w:ascii="Times New Roman" w:eastAsia="TimesNewRomanPSMT" w:hAnsi="Times New Roman"/>
          <w:bCs/>
          <w:sz w:val="24"/>
          <w:lang w:val="sr-Cyrl-RS"/>
        </w:rPr>
        <w:t xml:space="preserve"> 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 xml:space="preserve">без ПДВ – а </w:t>
      </w:r>
      <w:r w:rsidR="00381B1D">
        <w:rPr>
          <w:rFonts w:ascii="Times New Roman" w:eastAsia="TimesNewRomanPSMT" w:hAnsi="Times New Roman"/>
          <w:bCs/>
          <w:sz w:val="24"/>
          <w:lang w:val="sr-Cyrl-RS"/>
        </w:rPr>
        <w:t xml:space="preserve">и са ПДВ-ом 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 xml:space="preserve">за </w:t>
      </w:r>
      <w:r w:rsidRPr="007E4A59">
        <w:rPr>
          <w:rFonts w:ascii="Times New Roman" w:hAnsi="Times New Roman"/>
          <w:sz w:val="24"/>
          <w:lang w:val="sr-Cyrl-RS"/>
        </w:rPr>
        <w:t>и</w:t>
      </w:r>
      <w:proofErr w:type="spellStart"/>
      <w:r w:rsidRPr="007E4A59">
        <w:rPr>
          <w:rFonts w:ascii="Times New Roman" w:hAnsi="Times New Roman"/>
          <w:sz w:val="24"/>
        </w:rPr>
        <w:t>зрад</w:t>
      </w:r>
      <w:proofErr w:type="spellEnd"/>
      <w:r w:rsidRPr="007E4A59">
        <w:rPr>
          <w:rFonts w:ascii="Times New Roman" w:hAnsi="Times New Roman"/>
          <w:sz w:val="24"/>
          <w:lang w:val="sr-Cyrl-RS"/>
        </w:rPr>
        <w:t xml:space="preserve">у, монтажу, </w:t>
      </w:r>
      <w:proofErr w:type="spellStart"/>
      <w:r w:rsidRPr="007E4A59">
        <w:rPr>
          <w:rFonts w:ascii="Times New Roman" w:hAnsi="Times New Roman"/>
          <w:sz w:val="24"/>
        </w:rPr>
        <w:t>опремањ</w:t>
      </w:r>
      <w:proofErr w:type="spellEnd"/>
      <w:r w:rsidRPr="007E4A59">
        <w:rPr>
          <w:rFonts w:ascii="Times New Roman" w:hAnsi="Times New Roman"/>
          <w:sz w:val="24"/>
          <w:lang w:val="sr-Cyrl-RS"/>
        </w:rPr>
        <w:t>е</w:t>
      </w:r>
      <w:r w:rsidRPr="007E4A59">
        <w:rPr>
          <w:rFonts w:ascii="Times New Roman" w:hAnsi="Times New Roman"/>
          <w:sz w:val="24"/>
        </w:rPr>
        <w:t xml:space="preserve"> </w:t>
      </w:r>
      <w:proofErr w:type="spellStart"/>
      <w:r w:rsidRPr="007E4A59">
        <w:rPr>
          <w:rFonts w:ascii="Times New Roman" w:hAnsi="Times New Roman"/>
          <w:sz w:val="24"/>
        </w:rPr>
        <w:t>штанда</w:t>
      </w:r>
      <w:proofErr w:type="spellEnd"/>
      <w:r w:rsidRPr="007E4A59">
        <w:rPr>
          <w:rFonts w:ascii="Times New Roman" w:hAnsi="Times New Roman"/>
          <w:sz w:val="24"/>
        </w:rPr>
        <w:t xml:space="preserve"> </w:t>
      </w:r>
      <w:r w:rsidRPr="007E4A59">
        <w:rPr>
          <w:rFonts w:ascii="Times New Roman" w:hAnsi="Times New Roman"/>
          <w:sz w:val="24"/>
          <w:lang w:val="sr-Cyrl-RS"/>
        </w:rPr>
        <w:t xml:space="preserve">и демонтажу, цене за </w:t>
      </w:r>
      <w:r w:rsidRPr="007E4A59">
        <w:rPr>
          <w:rFonts w:ascii="Times New Roman" w:eastAsia="TimesNewRomanPSMT" w:hAnsi="Times New Roman"/>
          <w:bCs/>
          <w:sz w:val="24"/>
          <w:lang w:val="sr-Cyrl-RS"/>
        </w:rPr>
        <w:t xml:space="preserve">маркетиншке активности, </w:t>
      </w:r>
      <w:r w:rsidRPr="007E4A59">
        <w:rPr>
          <w:rFonts w:ascii="Times New Roman" w:eastAsia="TimesNewRomanPSMT" w:hAnsi="Times New Roman"/>
          <w:bCs/>
          <w:sz w:val="24"/>
          <w:szCs w:val="24"/>
          <w:lang w:val="sr-Cyrl-RS"/>
        </w:rPr>
        <w:t>цене</w:t>
      </w:r>
      <w:r w:rsidRPr="007E4A59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израде идејног</w:t>
      </w:r>
      <w:r w:rsidR="003E0B02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и визуелног</w:t>
      </w:r>
      <w:r w:rsidRPr="007E4A59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решења штанда</w:t>
      </w:r>
      <w:r w:rsidRPr="007E4A59">
        <w:rPr>
          <w:rFonts w:ascii="Times New Roman" w:hAnsi="Times New Roman"/>
          <w:sz w:val="24"/>
          <w:szCs w:val="24"/>
          <w:lang w:val="sr-Cyrl-RS"/>
        </w:rPr>
        <w:t>, за сваки појединачни сајам а у складу са захтевима</w:t>
      </w:r>
      <w:r w:rsidRPr="007E4A59">
        <w:rPr>
          <w:rFonts w:ascii="Times New Roman" w:hAnsi="Times New Roman"/>
          <w:sz w:val="24"/>
          <w:lang w:val="sr-Cyrl-RS"/>
        </w:rPr>
        <w:t xml:space="preserve"> наведеним у </w:t>
      </w:r>
      <w:r w:rsidR="00C558E0">
        <w:rPr>
          <w:rFonts w:ascii="Times New Roman" w:hAnsi="Times New Roman"/>
          <w:sz w:val="24"/>
          <w:lang w:val="sr-Cyrl-RS"/>
        </w:rPr>
        <w:t xml:space="preserve">Техничкој спецификацији </w:t>
      </w:r>
      <w:r w:rsidRPr="007E4A59">
        <w:rPr>
          <w:rFonts w:ascii="Times New Roman" w:hAnsi="Times New Roman"/>
          <w:sz w:val="24"/>
          <w:lang w:val="sr-Cyrl-RS"/>
        </w:rPr>
        <w:t>ов</w:t>
      </w:r>
      <w:r w:rsidR="00C558E0">
        <w:rPr>
          <w:rFonts w:ascii="Times New Roman" w:hAnsi="Times New Roman"/>
          <w:sz w:val="24"/>
          <w:lang w:val="sr-Cyrl-RS"/>
        </w:rPr>
        <w:t>е</w:t>
      </w:r>
      <w:r w:rsidRPr="007E4A59">
        <w:rPr>
          <w:rFonts w:ascii="Times New Roman" w:hAnsi="Times New Roman"/>
          <w:sz w:val="24"/>
          <w:lang w:val="sr-Cyrl-RS"/>
        </w:rPr>
        <w:t xml:space="preserve"> конкурсн</w:t>
      </w:r>
      <w:r w:rsidR="00C558E0">
        <w:rPr>
          <w:rFonts w:ascii="Times New Roman" w:hAnsi="Times New Roman"/>
          <w:sz w:val="24"/>
          <w:lang w:val="sr-Cyrl-RS"/>
        </w:rPr>
        <w:t>е</w:t>
      </w:r>
      <w:r w:rsidRPr="007E4A59">
        <w:rPr>
          <w:rFonts w:ascii="Times New Roman" w:hAnsi="Times New Roman"/>
          <w:sz w:val="24"/>
          <w:lang w:val="sr-Cyrl-RS"/>
        </w:rPr>
        <w:t xml:space="preserve"> документациј</w:t>
      </w:r>
      <w:r w:rsidR="00C558E0">
        <w:rPr>
          <w:rFonts w:ascii="Times New Roman" w:hAnsi="Times New Roman"/>
          <w:sz w:val="24"/>
          <w:lang w:val="sr-Cyrl-RS"/>
        </w:rPr>
        <w:t>е</w:t>
      </w:r>
      <w:r>
        <w:rPr>
          <w:rFonts w:ascii="Times New Roman" w:hAnsi="Times New Roman"/>
          <w:sz w:val="24"/>
          <w:lang w:val="sr-Cyrl-RS"/>
        </w:rPr>
        <w:t>.</w:t>
      </w:r>
    </w:p>
    <w:p w14:paraId="2D9142B9" w14:textId="29A7407B" w:rsidR="00742127" w:rsidRPr="00EA29AD" w:rsidRDefault="00742127" w:rsidP="00742127">
      <w:pPr>
        <w:pStyle w:val="ListParagraph"/>
        <w:jc w:val="both"/>
        <w:rPr>
          <w:rFonts w:ascii="Times New Roman" w:hAnsi="Times New Roman"/>
          <w:iCs/>
          <w:sz w:val="24"/>
          <w:u w:val="single"/>
          <w:lang w:val="sr-Cyrl-RS" w:eastAsia="en-GB"/>
        </w:rPr>
      </w:pPr>
      <w:r>
        <w:rPr>
          <w:rFonts w:ascii="Times New Roman" w:hAnsi="Times New Roman"/>
          <w:sz w:val="24"/>
          <w:u w:val="single"/>
          <w:lang w:val="sr-Cyrl-RS"/>
        </w:rPr>
        <w:t>З</w:t>
      </w:r>
      <w:r w:rsidRPr="00EA29AD">
        <w:rPr>
          <w:rFonts w:ascii="Times New Roman" w:hAnsi="Times New Roman"/>
          <w:sz w:val="24"/>
          <w:u w:val="single"/>
          <w:lang w:val="sr-Cyrl-RS"/>
        </w:rPr>
        <w:t xml:space="preserve">а сајам под редним бројем </w:t>
      </w:r>
      <w:r w:rsidR="006931F2">
        <w:rPr>
          <w:rFonts w:ascii="Times New Roman" w:hAnsi="Times New Roman" w:cs="Times New Roman"/>
          <w:sz w:val="24"/>
          <w:szCs w:val="24"/>
          <w:u w:val="single"/>
          <w:lang w:val="sr-Latn-RS"/>
        </w:rPr>
        <w:t>6</w:t>
      </w:r>
      <w:r w:rsidRPr="00EA2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Pr="00EA29AD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U.S. Private Label Trade Show</w:t>
      </w:r>
      <w:r w:rsidRPr="00EA29AD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, Наручилац је у оквиру закупа простора прихватио пакет сајма</w:t>
      </w:r>
      <w:r w:rsidRPr="00EA2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EA29AD">
        <w:rPr>
          <w:rFonts w:ascii="Times New Roman" w:hAnsi="Times New Roman" w:cs="Times New Roman"/>
          <w:sz w:val="24"/>
          <w:szCs w:val="24"/>
          <w:u w:val="single"/>
        </w:rPr>
        <w:t>“PLMA Shell Scheme Package”</w:t>
      </w:r>
      <w:r w:rsidRPr="00EA2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који укључује</w:t>
      </w:r>
      <w:r w:rsidRPr="00EA29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9AD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изградњу монтажног штанда где сваки излагач има свој издвојен простор димензија 3</w:t>
      </w:r>
      <w:r w:rsidRPr="00EA29AD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EA2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3м2 са свом неопходном пратећом опремом за сваког излагача. </w:t>
      </w:r>
      <w:r w:rsidRPr="00EA29A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  <w:t xml:space="preserve">У складу са тим, приликом давања понуде за услуге наведене у реду број </w:t>
      </w:r>
      <w:r w:rsidR="00507520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6</w:t>
      </w:r>
      <w:r w:rsidRPr="00EA29A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  <w:t xml:space="preserve">. колони 3. Табеле 1., </w:t>
      </w:r>
      <w:r w:rsidRPr="00EA2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понуђачи морају имати у виду да ће </w:t>
      </w:r>
      <w:r w:rsidRPr="00EA29AD">
        <w:rPr>
          <w:rFonts w:ascii="Times New Roman" w:hAnsi="Times New Roman"/>
          <w:sz w:val="24"/>
          <w:u w:val="single"/>
          <w:lang w:val="sr-Cyrl-RS"/>
        </w:rPr>
        <w:t xml:space="preserve">изабрани понуђач за овај сајам бити у обавези да достави идејно решење дизајна (графика) већ изграђеног штанда, припрему за штампу одобреног предлога дизајна (графике), да по потреби и </w:t>
      </w:r>
      <w:r w:rsidRPr="00EA29AD">
        <w:rPr>
          <w:rFonts w:ascii="Times New Roman" w:hAnsi="Times New Roman"/>
          <w:sz w:val="24"/>
          <w:u w:val="single"/>
          <w:lang w:val="sr-Cyrl-RS"/>
        </w:rPr>
        <w:lastRenderedPageBreak/>
        <w:t>захтеву Наручиоца обезбеди постављање графике на сам штанд, припреми сајамску брошуру као и обезбеди фрижидере/замрзиваче за излагаче, а по потреби и захтеву Наручиоца. Изабрани понуђач ће такође бити у обавези да за потребе штанда и излагача обезбеди и: апарт за кафу, кафу, довољан број чаша за воду и кафу, апарат за воду са довољним количином воде за сваки сајам, као и сав неопходан пратећи сајамски инвентар, а по налогу Наручиоца</w:t>
      </w:r>
      <w:r w:rsidRPr="00EA29A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  <w:t>;</w:t>
      </w:r>
    </w:p>
    <w:p w14:paraId="38B979B7" w14:textId="77777777" w:rsidR="00742127" w:rsidRPr="00EA29AD" w:rsidRDefault="00742127" w:rsidP="00742127">
      <w:pPr>
        <w:pStyle w:val="ListParagraph"/>
        <w:jc w:val="both"/>
        <w:rPr>
          <w:b/>
          <w:lang w:val="sr-Cyrl-RS"/>
        </w:rPr>
      </w:pPr>
    </w:p>
    <w:p w14:paraId="3E7F3866" w14:textId="0B5C8D4D" w:rsidR="00742127" w:rsidRPr="00210084" w:rsidRDefault="00742127" w:rsidP="001223DA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68693F">
        <w:rPr>
          <w:rFonts w:ascii="Times New Roman" w:eastAsia="TimesNewRomanPSMT" w:hAnsi="Times New Roman"/>
          <w:bCs/>
          <w:sz w:val="24"/>
          <w:lang w:val="sr-Cyrl-RS"/>
        </w:rPr>
        <w:t xml:space="preserve">у ред број </w:t>
      </w:r>
      <w:r w:rsidR="001C1BB8">
        <w:rPr>
          <w:rFonts w:ascii="Times New Roman" w:eastAsia="TimesNewRomanPSMT" w:hAnsi="Times New Roman"/>
          <w:bCs/>
          <w:sz w:val="24"/>
          <w:lang w:val="sr-Cyrl-RS"/>
        </w:rPr>
        <w:t>10</w:t>
      </w:r>
      <w:r w:rsidRPr="0068693F">
        <w:rPr>
          <w:rFonts w:ascii="Times New Roman" w:eastAsia="TimesNewRomanPSMT" w:hAnsi="Times New Roman"/>
          <w:bCs/>
          <w:sz w:val="24"/>
          <w:lang w:val="sr-Cyrl-RS"/>
        </w:rPr>
        <w:t xml:space="preserve">.  унети збир цена </w:t>
      </w:r>
      <w:r w:rsidR="00381B1D" w:rsidRPr="007E4A59">
        <w:rPr>
          <w:rFonts w:ascii="Times New Roman" w:eastAsia="TimesNewRomanPSMT" w:hAnsi="Times New Roman"/>
          <w:bCs/>
          <w:sz w:val="24"/>
          <w:lang w:val="sr-Cyrl-RS"/>
        </w:rPr>
        <w:t xml:space="preserve">без ПДВ – а </w:t>
      </w:r>
      <w:r w:rsidR="00381B1D">
        <w:rPr>
          <w:rFonts w:ascii="Times New Roman" w:eastAsia="TimesNewRomanPSMT" w:hAnsi="Times New Roman"/>
          <w:bCs/>
          <w:sz w:val="24"/>
          <w:lang w:val="sr-Cyrl-RS"/>
        </w:rPr>
        <w:t xml:space="preserve">и са ПДВ-ом </w:t>
      </w:r>
      <w:r w:rsidRPr="0068693F">
        <w:rPr>
          <w:rFonts w:ascii="Times New Roman" w:eastAsia="TimesNewRomanPSMT" w:hAnsi="Times New Roman"/>
          <w:bCs/>
          <w:sz w:val="24"/>
          <w:lang w:val="sr-Cyrl-RS"/>
        </w:rPr>
        <w:t>из редова 1 -</w:t>
      </w:r>
      <w:r w:rsidR="00822775">
        <w:rPr>
          <w:rFonts w:ascii="Times New Roman" w:eastAsia="TimesNewRomanPSMT" w:hAnsi="Times New Roman"/>
          <w:bCs/>
          <w:sz w:val="24"/>
          <w:lang w:val="sr-Cyrl-RS"/>
        </w:rPr>
        <w:t>9</w:t>
      </w:r>
      <w:r w:rsidRPr="0068693F">
        <w:rPr>
          <w:rFonts w:ascii="Times New Roman" w:eastAsia="TimesNewRomanPSMT" w:hAnsi="Times New Roman"/>
          <w:bCs/>
          <w:sz w:val="24"/>
          <w:lang w:val="sr-Cyrl-RS"/>
        </w:rPr>
        <w:t>, колона 3, 4 и 5</w:t>
      </w:r>
      <w:r w:rsidR="008E777C">
        <w:rPr>
          <w:rFonts w:ascii="Times New Roman" w:eastAsia="TimesNewRomanPSMT" w:hAnsi="Times New Roman"/>
          <w:bCs/>
          <w:sz w:val="24"/>
          <w:lang w:val="sr-Cyrl-RS"/>
        </w:rPr>
        <w:t>;</w:t>
      </w:r>
    </w:p>
    <w:p w14:paraId="7FCEFCF5" w14:textId="408568B3" w:rsidR="008E777C" w:rsidRPr="008E777C" w:rsidRDefault="008E777C" w:rsidP="00742127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eastAsia="TimesNewRomanPSMT" w:hAnsi="Times New Roman"/>
          <w:sz w:val="24"/>
          <w:u w:val="single"/>
          <w:lang w:val="sr-Cyrl-RS"/>
        </w:rPr>
      </w:pPr>
      <w:r w:rsidRPr="008E777C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понуђачи </w:t>
      </w:r>
      <w:r w:rsidR="0082353C">
        <w:rPr>
          <w:rFonts w:ascii="Times New Roman" w:hAnsi="Times New Roman" w:cs="Times New Roman"/>
          <w:sz w:val="24"/>
          <w:szCs w:val="24"/>
          <w:lang w:val="sr-Cyrl-RS"/>
        </w:rPr>
        <w:t xml:space="preserve">дају своју понуду у складу са </w:t>
      </w:r>
      <w:r w:rsidRPr="008E777C">
        <w:rPr>
          <w:rFonts w:ascii="Times New Roman" w:hAnsi="Times New Roman" w:cs="Times New Roman"/>
          <w:sz w:val="24"/>
          <w:szCs w:val="24"/>
          <w:lang w:val="sr-Cyrl-RS"/>
        </w:rPr>
        <w:t>максималн</w:t>
      </w:r>
      <w:r w:rsidR="0082353C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8E777C">
        <w:rPr>
          <w:rFonts w:ascii="Times New Roman" w:hAnsi="Times New Roman" w:cs="Times New Roman"/>
          <w:sz w:val="24"/>
          <w:szCs w:val="24"/>
          <w:lang w:val="sr-Cyrl-RS"/>
        </w:rPr>
        <w:t xml:space="preserve"> понуђен</w:t>
      </w:r>
      <w:r w:rsidR="0082353C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8E777C">
        <w:rPr>
          <w:rFonts w:ascii="Times New Roman" w:hAnsi="Times New Roman" w:cs="Times New Roman"/>
          <w:sz w:val="24"/>
          <w:szCs w:val="24"/>
          <w:lang w:val="sr-Cyrl-RS"/>
        </w:rPr>
        <w:t xml:space="preserve"> цен</w:t>
      </w:r>
      <w:r w:rsidR="0082353C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8E777C">
        <w:rPr>
          <w:rFonts w:ascii="Times New Roman" w:hAnsi="Times New Roman" w:cs="Times New Roman"/>
          <w:sz w:val="24"/>
          <w:szCs w:val="24"/>
          <w:lang w:val="sr-Cyrl-RS"/>
        </w:rPr>
        <w:t xml:space="preserve"> без ПДВ-а </w:t>
      </w:r>
      <w:r w:rsidR="0082353C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наведеним </w:t>
      </w:r>
      <w:r w:rsidRPr="008E777C">
        <w:rPr>
          <w:rFonts w:ascii="Times New Roman" w:hAnsi="Times New Roman" w:cs="Times New Roman"/>
          <w:sz w:val="24"/>
          <w:szCs w:val="24"/>
          <w:lang w:val="sr-Cyrl-RS"/>
        </w:rPr>
        <w:t xml:space="preserve">у колони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</w:p>
    <w:p w14:paraId="0A769EA9" w14:textId="77777777" w:rsidR="008E777C" w:rsidRDefault="008E777C" w:rsidP="008E777C">
      <w:pPr>
        <w:pStyle w:val="ListParagraph"/>
        <w:spacing w:after="60" w:line="240" w:lineRule="auto"/>
        <w:jc w:val="both"/>
        <w:rPr>
          <w:rFonts w:ascii="Times New Roman" w:eastAsia="TimesNewRomanPSMT" w:hAnsi="Times New Roman"/>
          <w:sz w:val="24"/>
          <w:u w:val="single"/>
          <w:lang w:val="sr-Cyrl-RS"/>
        </w:rPr>
      </w:pPr>
    </w:p>
    <w:p w14:paraId="31A36F81" w14:textId="42CB4082" w:rsidR="00742127" w:rsidRPr="008E777C" w:rsidRDefault="00742127" w:rsidP="008E777C">
      <w:pPr>
        <w:pStyle w:val="ListParagraph"/>
        <w:spacing w:after="60" w:line="240" w:lineRule="auto"/>
        <w:ind w:left="0"/>
        <w:jc w:val="both"/>
        <w:rPr>
          <w:rFonts w:ascii="Times New Roman" w:eastAsia="TimesNewRomanPSMT" w:hAnsi="Times New Roman"/>
          <w:sz w:val="24"/>
          <w:u w:val="single"/>
          <w:lang w:val="sr-Cyrl-RS"/>
        </w:rPr>
      </w:pPr>
      <w:r w:rsidRPr="008E777C">
        <w:rPr>
          <w:rFonts w:ascii="Times New Roman" w:eastAsia="TimesNewRomanPSMT" w:hAnsi="Times New Roman"/>
          <w:sz w:val="24"/>
          <w:u w:val="single"/>
          <w:lang w:val="sr-Cyrl-RS"/>
        </w:rPr>
        <w:t>Упутство за попуњавање Табеле 2:</w:t>
      </w:r>
    </w:p>
    <w:p w14:paraId="65F98885" w14:textId="77777777" w:rsidR="00742127" w:rsidRDefault="00742127" w:rsidP="008E777C">
      <w:pPr>
        <w:pStyle w:val="ListParagraph"/>
        <w:ind w:left="0"/>
        <w:jc w:val="both"/>
        <w:rPr>
          <w:rFonts w:eastAsia="TimesNewRomanPSMT"/>
          <w:bCs/>
          <w:lang w:val="sr-Cyrl-RS"/>
        </w:rPr>
      </w:pPr>
      <w:r w:rsidRPr="00E434F0">
        <w:rPr>
          <w:rFonts w:ascii="Times New Roman" w:eastAsia="TimesNewRomanPSMT" w:hAnsi="Times New Roman"/>
          <w:sz w:val="24"/>
          <w:lang w:val="sr-Cyrl-RS"/>
        </w:rPr>
        <w:t>У Табелу 2 уписати</w:t>
      </w:r>
      <w:r>
        <w:rPr>
          <w:rFonts w:ascii="Times New Roman" w:eastAsia="TimesNewRomanPSMT" w:hAnsi="Times New Roman"/>
          <w:b/>
          <w:bCs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</w:t>
      </w:r>
      <w:r w:rsidRPr="00CD19BB">
        <w:rPr>
          <w:rFonts w:ascii="Times New Roman" w:hAnsi="Times New Roman"/>
          <w:sz w:val="24"/>
          <w:lang w:val="sr-Cyrl-RS"/>
        </w:rPr>
        <w:t>ровизиј</w:t>
      </w:r>
      <w:r>
        <w:rPr>
          <w:rFonts w:ascii="Times New Roman" w:hAnsi="Times New Roman"/>
          <w:sz w:val="24"/>
          <w:lang w:val="sr-Cyrl-RS"/>
        </w:rPr>
        <w:t>у</w:t>
      </w:r>
      <w:r w:rsidRPr="00CD19BB">
        <w:rPr>
          <w:rFonts w:ascii="Times New Roman" w:hAnsi="Times New Roman"/>
          <w:sz w:val="24"/>
          <w:lang w:val="sr-Cyrl-RS"/>
        </w:rPr>
        <w:t xml:space="preserve"> у процентуалном износу за реализацију услуге која подразумева сарадњу са медијима и закуп медијског </w:t>
      </w:r>
      <w:r>
        <w:rPr>
          <w:rFonts w:ascii="Times New Roman" w:hAnsi="Times New Roman"/>
          <w:sz w:val="24"/>
          <w:lang w:val="sr-Cyrl-RS"/>
        </w:rPr>
        <w:t xml:space="preserve">и рекламног </w:t>
      </w:r>
      <w:r w:rsidRPr="00CD19BB">
        <w:rPr>
          <w:rFonts w:ascii="Times New Roman" w:hAnsi="Times New Roman"/>
          <w:sz w:val="24"/>
          <w:lang w:val="sr-Cyrl-RS"/>
        </w:rPr>
        <w:t>простора</w:t>
      </w:r>
      <w:r>
        <w:rPr>
          <w:rFonts w:ascii="Times New Roman" w:hAnsi="Times New Roman"/>
          <w:sz w:val="24"/>
          <w:lang w:val="sr-Cyrl-RS"/>
        </w:rPr>
        <w:t xml:space="preserve"> у иностранству која је јединствена за све сајмове</w:t>
      </w:r>
      <w:r>
        <w:rPr>
          <w:rFonts w:eastAsia="TimesNewRomanPSMT"/>
          <w:bCs/>
          <w:lang w:val="sr-Cyrl-RS"/>
        </w:rPr>
        <w:t>.</w:t>
      </w:r>
    </w:p>
    <w:p w14:paraId="30F73C4C" w14:textId="77777777" w:rsidR="00742127" w:rsidRDefault="00742127" w:rsidP="00742127">
      <w:pPr>
        <w:spacing w:after="60" w:line="240" w:lineRule="auto"/>
        <w:ind w:left="720"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</w:p>
    <w:p w14:paraId="17D0EB41" w14:textId="77777777" w:rsidR="00742127" w:rsidRPr="007E4A59" w:rsidRDefault="00742127" w:rsidP="00742127">
      <w:pPr>
        <w:spacing w:after="200" w:line="240" w:lineRule="auto"/>
        <w:jc w:val="both"/>
        <w:rPr>
          <w:rFonts w:ascii="Times New Roman" w:eastAsia="TimesNewRomanPSMT" w:hAnsi="Times New Roman"/>
          <w:bCs/>
          <w:sz w:val="24"/>
          <w:u w:val="single"/>
          <w:lang w:val="sr-Cyrl-RS"/>
        </w:rPr>
      </w:pPr>
      <w:r w:rsidRPr="007E4A59">
        <w:rPr>
          <w:rFonts w:ascii="Times New Roman" w:eastAsia="TimesNewRomanPSMT" w:hAnsi="Times New Roman"/>
          <w:bCs/>
          <w:sz w:val="24"/>
          <w:u w:val="single"/>
          <w:lang w:val="sr-Cyrl-RS"/>
        </w:rPr>
        <w:t>Напомене:</w:t>
      </w:r>
    </w:p>
    <w:p w14:paraId="44DDE691" w14:textId="77777777" w:rsidR="00742127" w:rsidRDefault="00742127" w:rsidP="0074212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NewRomanPSMT" w:hAnsi="Times New Roman"/>
          <w:bCs/>
          <w:sz w:val="24"/>
          <w:lang w:val="sr-Cyrl-RS"/>
        </w:rPr>
      </w:pPr>
      <w:r w:rsidRPr="001B603A">
        <w:rPr>
          <w:rFonts w:ascii="Times New Roman" w:eastAsia="TimesNewRomanPSMT" w:hAnsi="Times New Roman"/>
          <w:bCs/>
          <w:sz w:val="24"/>
          <w:lang w:val="sr-Cyrl-RS"/>
        </w:rPr>
        <w:t xml:space="preserve">цене наведене у Табели </w:t>
      </w:r>
      <w:r>
        <w:rPr>
          <w:rFonts w:ascii="Times New Roman" w:eastAsia="TimesNewRomanPSMT" w:hAnsi="Times New Roman"/>
          <w:bCs/>
          <w:sz w:val="24"/>
        </w:rPr>
        <w:t xml:space="preserve">1 </w:t>
      </w:r>
      <w:r>
        <w:rPr>
          <w:rFonts w:ascii="Times New Roman" w:eastAsia="TimesNewRomanPSMT" w:hAnsi="Times New Roman"/>
          <w:bCs/>
          <w:sz w:val="24"/>
          <w:lang w:val="sr-Cyrl-RS"/>
        </w:rPr>
        <w:t xml:space="preserve">и провизија наведена у Табели 2 </w:t>
      </w:r>
      <w:r w:rsidRPr="001B603A">
        <w:rPr>
          <w:rFonts w:ascii="Times New Roman" w:eastAsia="TimesNewRomanPSMT" w:hAnsi="Times New Roman"/>
          <w:bCs/>
          <w:sz w:val="24"/>
          <w:lang w:val="sr-Cyrl-RS"/>
        </w:rPr>
        <w:t>су фиксне и не могу се мењати током трајања уговора о јавној набавци закључен</w:t>
      </w:r>
      <w:r>
        <w:rPr>
          <w:rFonts w:ascii="Times New Roman" w:eastAsia="TimesNewRomanPSMT" w:hAnsi="Times New Roman"/>
          <w:bCs/>
          <w:sz w:val="24"/>
          <w:lang w:val="sr-Cyrl-RS"/>
        </w:rPr>
        <w:t>ог</w:t>
      </w:r>
      <w:r w:rsidRPr="001B603A">
        <w:rPr>
          <w:rFonts w:ascii="Times New Roman" w:eastAsia="TimesNewRomanPSMT" w:hAnsi="Times New Roman"/>
          <w:bCs/>
          <w:sz w:val="24"/>
          <w:lang w:val="sr-Cyrl-RS"/>
        </w:rPr>
        <w:t xml:space="preserve"> са изабраним понуђачем</w:t>
      </w:r>
      <w:r>
        <w:rPr>
          <w:rFonts w:ascii="Times New Roman" w:eastAsia="TimesNewRomanPSMT" w:hAnsi="Times New Roman"/>
          <w:bCs/>
          <w:sz w:val="24"/>
          <w:lang w:val="sr-Cyrl-RS"/>
        </w:rPr>
        <w:t>;</w:t>
      </w:r>
    </w:p>
    <w:p w14:paraId="0FE32D3C" w14:textId="1C3E67F5" w:rsidR="00742127" w:rsidRDefault="00742127" w:rsidP="0074212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</w:pPr>
      <w:r w:rsidRPr="00F4367A">
        <w:rPr>
          <w:rFonts w:ascii="Times New Roman" w:hAnsi="Times New Roman"/>
          <w:sz w:val="24"/>
          <w:u w:val="single"/>
          <w:lang w:val="sr-Cyrl-RS"/>
        </w:rPr>
        <w:t xml:space="preserve">за сајам под редним бројем </w:t>
      </w:r>
      <w:r w:rsidR="006931F2">
        <w:rPr>
          <w:rFonts w:ascii="Times New Roman" w:hAnsi="Times New Roman" w:cs="Times New Roman"/>
          <w:sz w:val="24"/>
          <w:szCs w:val="24"/>
          <w:u w:val="single"/>
          <w:lang w:val="sr-Latn-RS"/>
        </w:rPr>
        <w:t>6</w:t>
      </w:r>
      <w:r w:rsidRPr="00F436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Pr="00F4367A">
        <w:rPr>
          <w:rFonts w:ascii="Times New Roman" w:hAnsi="Times New Roman" w:cs="Times New Roman"/>
          <w:bCs/>
          <w:sz w:val="24"/>
          <w:szCs w:val="24"/>
          <w:u w:val="single"/>
        </w:rPr>
        <w:t>U.S. Private Label Trade Show</w:t>
      </w:r>
      <w:r w:rsidRPr="00F436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, Наручилац је у оквиру закупа простора прихватио пакет сајма</w:t>
      </w:r>
      <w:r w:rsidRPr="00F436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F4367A">
        <w:rPr>
          <w:rFonts w:ascii="Times New Roman" w:hAnsi="Times New Roman" w:cs="Times New Roman"/>
          <w:sz w:val="24"/>
          <w:szCs w:val="24"/>
          <w:u w:val="single"/>
        </w:rPr>
        <w:t>“PLMA Shell Scheme Package”</w:t>
      </w:r>
      <w:r w:rsidRPr="00F436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који укључује</w:t>
      </w:r>
      <w:r w:rsidRPr="00F436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367A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изградњу монтажног штанда где сваки излагач има свој издвојен простор димензија 3</w:t>
      </w:r>
      <w:r w:rsidRPr="00F4367A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F436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3м2 са свом неопходном пратећом опремом за сваког излагача. </w:t>
      </w:r>
      <w:r w:rsidRPr="00F4367A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  <w:t xml:space="preserve">У складу са тим, приликом давања понуде за услуге наведене у реду број </w:t>
      </w:r>
      <w:r w:rsidR="00507520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6</w:t>
      </w:r>
      <w:r w:rsidRPr="00F4367A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  <w:t xml:space="preserve">. колони 3. Табеле 1., </w:t>
      </w:r>
      <w:r w:rsidRPr="00F436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понуђачи морају имати у виду да ће </w:t>
      </w:r>
      <w:r w:rsidRPr="00F4367A">
        <w:rPr>
          <w:rFonts w:ascii="Times New Roman" w:hAnsi="Times New Roman"/>
          <w:sz w:val="24"/>
          <w:u w:val="single"/>
          <w:lang w:val="sr-Cyrl-RS"/>
        </w:rPr>
        <w:t>изабрани понуђач за овај сајам бити у обавези да достави идејно решење дизајна (графика) већ изграђеног штанда, припрему за штампу одобреног предлога дизајна (графике), да по потреби и захтеву Наручиоца обезбеди постављање графике на сам штанд, припреми сајамску брошуру као и обезбеди фрижидере/замрзиваче за излагаче, а по потреби и захтеву Наручиоца. Изабрани понуђач ће такође бити у обавези да за потребе штанда и излагача обезбеди и: апарт за кафу, кафу, довољан број чаша за воду и кафу, апарат за воду са довољним количином воде за сваки сајам, као и сав неопходан пратећи сајамски инвентар, а по налогу Наручиоца</w:t>
      </w:r>
      <w:r w:rsidRPr="00F4367A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sr-Cyrl-RS"/>
        </w:rPr>
        <w:t>;</w:t>
      </w:r>
    </w:p>
    <w:p w14:paraId="5B898DC0" w14:textId="58D08BE2" w:rsidR="00A11341" w:rsidRPr="0077726B" w:rsidRDefault="00742127" w:rsidP="0074212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003869">
        <w:rPr>
          <w:rFonts w:ascii="Times New Roman" w:eastAsia="Calibri" w:hAnsi="Times New Roman"/>
          <w:color w:val="000000"/>
          <w:sz w:val="24"/>
          <w:lang w:val="sr-Cyrl-RS"/>
        </w:rPr>
        <w:t>услуге које нису наведене, изабрани понуђач ће наплаћивати по ценама из ценовника важећег у моменту уговарања овакве услуге, на који сагласност даје овлашћено лице Наручиоца</w:t>
      </w:r>
      <w:r w:rsidR="00004E1D">
        <w:rPr>
          <w:rFonts w:ascii="Times New Roman" w:eastAsia="Calibri" w:hAnsi="Times New Roman"/>
          <w:color w:val="000000"/>
          <w:sz w:val="24"/>
          <w:lang w:val="sr-Cyrl-RS"/>
        </w:rPr>
        <w:t>;</w:t>
      </w:r>
      <w:bookmarkStart w:id="0" w:name="_GoBack"/>
      <w:bookmarkEnd w:id="0"/>
    </w:p>
    <w:p w14:paraId="194B0122" w14:textId="0B67ADBB" w:rsidR="00742127" w:rsidRPr="00003869" w:rsidRDefault="00A11341" w:rsidP="0074212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color w:val="000000"/>
          <w:sz w:val="24"/>
          <w:lang w:val="sr-Cyrl-RS"/>
        </w:rPr>
        <w:t>Наручилац задржава право да, уколико преостану неутрошена средства од реализације неког од наведених сајмова</w:t>
      </w:r>
      <w:r w:rsidR="00C558E0">
        <w:rPr>
          <w:rFonts w:ascii="Times New Roman" w:eastAsia="Calibri" w:hAnsi="Times New Roman"/>
          <w:color w:val="000000"/>
          <w:sz w:val="24"/>
          <w:lang w:val="sr-Cyrl-RS"/>
        </w:rPr>
        <w:t xml:space="preserve"> из Табеле 1</w:t>
      </w:r>
      <w:r>
        <w:rPr>
          <w:rFonts w:ascii="Times New Roman" w:eastAsia="Calibri" w:hAnsi="Times New Roman"/>
          <w:color w:val="000000"/>
          <w:sz w:val="24"/>
          <w:lang w:val="sr-Cyrl-RS"/>
        </w:rPr>
        <w:t xml:space="preserve">, иста искористи за </w:t>
      </w:r>
      <w:r w:rsidR="00C558E0">
        <w:rPr>
          <w:rFonts w:ascii="Times New Roman" w:eastAsia="Calibri" w:hAnsi="Times New Roman"/>
          <w:color w:val="000000"/>
          <w:sz w:val="24"/>
          <w:lang w:val="sr-Cyrl-RS"/>
        </w:rPr>
        <w:t>додатне услуге реализоване на неком од сајмова који следе</w:t>
      </w:r>
      <w:r>
        <w:rPr>
          <w:rFonts w:ascii="Times New Roman" w:eastAsia="Calibri" w:hAnsi="Times New Roman"/>
          <w:color w:val="000000"/>
          <w:sz w:val="24"/>
          <w:lang w:val="sr-Cyrl-RS"/>
        </w:rPr>
        <w:t>, уколико се за тим укаже потреба.</w:t>
      </w:r>
    </w:p>
    <w:p w14:paraId="6D7740E0" w14:textId="77777777" w:rsidR="00742127" w:rsidRDefault="00742127" w:rsidP="0074212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00D52D" w14:textId="77777777" w:rsidR="00742127" w:rsidRPr="00740A43" w:rsidRDefault="00742127" w:rsidP="001854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 </w:t>
      </w:r>
    </w:p>
    <w:p w14:paraId="21FEE64F" w14:textId="77777777" w:rsidR="00742127" w:rsidRPr="00740A43" w:rsidRDefault="00742127" w:rsidP="00742127">
      <w:pPr>
        <w:rPr>
          <w:rFonts w:ascii="Times New Roman" w:eastAsia="Calibri" w:hAnsi="Times New Roman"/>
          <w:b/>
          <w:bCs/>
          <w:i/>
          <w:iCs/>
          <w:sz w:val="24"/>
          <w:lang w:val="sr-Cyrl-CS"/>
        </w:rPr>
      </w:pPr>
    </w:p>
    <w:p w14:paraId="127E671E" w14:textId="702CF4D7" w:rsidR="00742127" w:rsidRDefault="00742127" w:rsidP="00742127"/>
    <w:sectPr w:rsidR="00742127" w:rsidSect="00A62E1C">
      <w:headerReference w:type="default" r:id="rId8"/>
      <w:pgSz w:w="16838" w:h="11906" w:orient="landscape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9B62" w14:textId="77777777" w:rsidR="00F25E12" w:rsidRDefault="00F25E12" w:rsidP="00A64E9B">
      <w:pPr>
        <w:spacing w:after="0" w:line="240" w:lineRule="auto"/>
      </w:pPr>
      <w:r>
        <w:separator/>
      </w:r>
    </w:p>
  </w:endnote>
  <w:endnote w:type="continuationSeparator" w:id="0">
    <w:p w14:paraId="11B34516" w14:textId="77777777" w:rsidR="00F25E12" w:rsidRDefault="00F25E12" w:rsidP="00A6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B0671" w14:textId="77777777" w:rsidR="00F25E12" w:rsidRDefault="00F25E12" w:rsidP="00A64E9B">
      <w:pPr>
        <w:spacing w:after="0" w:line="240" w:lineRule="auto"/>
      </w:pPr>
      <w:r>
        <w:separator/>
      </w:r>
    </w:p>
  </w:footnote>
  <w:footnote w:type="continuationSeparator" w:id="0">
    <w:p w14:paraId="667AD09D" w14:textId="77777777" w:rsidR="00F25E12" w:rsidRDefault="00F25E12" w:rsidP="00A6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6F14" w14:textId="77777777" w:rsidR="00A64E9B" w:rsidRDefault="00A64E9B">
    <w:pPr>
      <w:pStyle w:val="Header"/>
    </w:pPr>
  </w:p>
  <w:p w14:paraId="20E42DE8" w14:textId="77777777" w:rsidR="00A64E9B" w:rsidRDefault="00A6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A19"/>
    <w:multiLevelType w:val="hybridMultilevel"/>
    <w:tmpl w:val="2502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71"/>
    <w:rsid w:val="0000072F"/>
    <w:rsid w:val="00004E1D"/>
    <w:rsid w:val="000077AA"/>
    <w:rsid w:val="00010649"/>
    <w:rsid w:val="0002018F"/>
    <w:rsid w:val="000207EC"/>
    <w:rsid w:val="0002255B"/>
    <w:rsid w:val="00026F77"/>
    <w:rsid w:val="00031C13"/>
    <w:rsid w:val="00032035"/>
    <w:rsid w:val="00032599"/>
    <w:rsid w:val="0003297D"/>
    <w:rsid w:val="0003515B"/>
    <w:rsid w:val="0005005B"/>
    <w:rsid w:val="00053770"/>
    <w:rsid w:val="00072EF4"/>
    <w:rsid w:val="00081F53"/>
    <w:rsid w:val="00082651"/>
    <w:rsid w:val="00082E3D"/>
    <w:rsid w:val="00084E82"/>
    <w:rsid w:val="00091DCA"/>
    <w:rsid w:val="00094E8B"/>
    <w:rsid w:val="00097451"/>
    <w:rsid w:val="000A575C"/>
    <w:rsid w:val="000A7AF8"/>
    <w:rsid w:val="000B044E"/>
    <w:rsid w:val="000B0C24"/>
    <w:rsid w:val="000B1DEA"/>
    <w:rsid w:val="000B2927"/>
    <w:rsid w:val="000B403B"/>
    <w:rsid w:val="000B5892"/>
    <w:rsid w:val="000B62A4"/>
    <w:rsid w:val="000C1A2E"/>
    <w:rsid w:val="000C24CE"/>
    <w:rsid w:val="000C4733"/>
    <w:rsid w:val="000D1B63"/>
    <w:rsid w:val="000D34F5"/>
    <w:rsid w:val="000D4414"/>
    <w:rsid w:val="000D4E6C"/>
    <w:rsid w:val="000E0890"/>
    <w:rsid w:val="000E19DF"/>
    <w:rsid w:val="000E3468"/>
    <w:rsid w:val="000E5BC5"/>
    <w:rsid w:val="000E6CEC"/>
    <w:rsid w:val="000E6F87"/>
    <w:rsid w:val="000F033F"/>
    <w:rsid w:val="000F08A0"/>
    <w:rsid w:val="00103111"/>
    <w:rsid w:val="001062B1"/>
    <w:rsid w:val="00106E87"/>
    <w:rsid w:val="001076C6"/>
    <w:rsid w:val="001141B5"/>
    <w:rsid w:val="00114A54"/>
    <w:rsid w:val="001223DA"/>
    <w:rsid w:val="00122E26"/>
    <w:rsid w:val="0012353F"/>
    <w:rsid w:val="001243EB"/>
    <w:rsid w:val="00124AE3"/>
    <w:rsid w:val="00127B9D"/>
    <w:rsid w:val="00130349"/>
    <w:rsid w:val="00133E4A"/>
    <w:rsid w:val="00136E1F"/>
    <w:rsid w:val="00141CA1"/>
    <w:rsid w:val="0014364D"/>
    <w:rsid w:val="001453D4"/>
    <w:rsid w:val="00147942"/>
    <w:rsid w:val="00153AF2"/>
    <w:rsid w:val="00153D75"/>
    <w:rsid w:val="001572AA"/>
    <w:rsid w:val="00162F60"/>
    <w:rsid w:val="00166C20"/>
    <w:rsid w:val="00171928"/>
    <w:rsid w:val="001755C2"/>
    <w:rsid w:val="00176094"/>
    <w:rsid w:val="001854EC"/>
    <w:rsid w:val="00190324"/>
    <w:rsid w:val="00192375"/>
    <w:rsid w:val="00192E66"/>
    <w:rsid w:val="00193A14"/>
    <w:rsid w:val="00195410"/>
    <w:rsid w:val="00197ECA"/>
    <w:rsid w:val="001A0C84"/>
    <w:rsid w:val="001A1037"/>
    <w:rsid w:val="001A1CA5"/>
    <w:rsid w:val="001B05B2"/>
    <w:rsid w:val="001B1DAE"/>
    <w:rsid w:val="001B6F0A"/>
    <w:rsid w:val="001C1BB8"/>
    <w:rsid w:val="001C1BE8"/>
    <w:rsid w:val="001C56BD"/>
    <w:rsid w:val="001D1278"/>
    <w:rsid w:val="001D5256"/>
    <w:rsid w:val="001D691D"/>
    <w:rsid w:val="001E3C07"/>
    <w:rsid w:val="001F480C"/>
    <w:rsid w:val="001F652A"/>
    <w:rsid w:val="001F7C20"/>
    <w:rsid w:val="00206A9C"/>
    <w:rsid w:val="00210084"/>
    <w:rsid w:val="00213444"/>
    <w:rsid w:val="002153C8"/>
    <w:rsid w:val="002231E0"/>
    <w:rsid w:val="00223B0E"/>
    <w:rsid w:val="00224445"/>
    <w:rsid w:val="00236EB1"/>
    <w:rsid w:val="002402CA"/>
    <w:rsid w:val="0024301B"/>
    <w:rsid w:val="002446CC"/>
    <w:rsid w:val="002514FF"/>
    <w:rsid w:val="00253269"/>
    <w:rsid w:val="00256F50"/>
    <w:rsid w:val="0026023D"/>
    <w:rsid w:val="002654D3"/>
    <w:rsid w:val="00265932"/>
    <w:rsid w:val="00266CCA"/>
    <w:rsid w:val="00270899"/>
    <w:rsid w:val="00271680"/>
    <w:rsid w:val="002733A1"/>
    <w:rsid w:val="0027350F"/>
    <w:rsid w:val="00273C9C"/>
    <w:rsid w:val="00275170"/>
    <w:rsid w:val="002755F2"/>
    <w:rsid w:val="00277ED8"/>
    <w:rsid w:val="00280B27"/>
    <w:rsid w:val="00294008"/>
    <w:rsid w:val="0029623A"/>
    <w:rsid w:val="002A3F27"/>
    <w:rsid w:val="002C1B37"/>
    <w:rsid w:val="002C25C7"/>
    <w:rsid w:val="002C26FA"/>
    <w:rsid w:val="002C48E1"/>
    <w:rsid w:val="002D6CEA"/>
    <w:rsid w:val="002E567B"/>
    <w:rsid w:val="002F2602"/>
    <w:rsid w:val="002F3878"/>
    <w:rsid w:val="00300592"/>
    <w:rsid w:val="003018CF"/>
    <w:rsid w:val="00310455"/>
    <w:rsid w:val="0031059D"/>
    <w:rsid w:val="00314625"/>
    <w:rsid w:val="003202FE"/>
    <w:rsid w:val="00322A1F"/>
    <w:rsid w:val="0032585E"/>
    <w:rsid w:val="00331599"/>
    <w:rsid w:val="0033220A"/>
    <w:rsid w:val="00332A3E"/>
    <w:rsid w:val="00333171"/>
    <w:rsid w:val="003344F9"/>
    <w:rsid w:val="003352C3"/>
    <w:rsid w:val="00336F27"/>
    <w:rsid w:val="00337124"/>
    <w:rsid w:val="00341050"/>
    <w:rsid w:val="003435E7"/>
    <w:rsid w:val="00347F5D"/>
    <w:rsid w:val="003524A9"/>
    <w:rsid w:val="00353D84"/>
    <w:rsid w:val="00355C29"/>
    <w:rsid w:val="00357162"/>
    <w:rsid w:val="003607F9"/>
    <w:rsid w:val="003648C2"/>
    <w:rsid w:val="00366890"/>
    <w:rsid w:val="00371A46"/>
    <w:rsid w:val="00374C89"/>
    <w:rsid w:val="00381B1D"/>
    <w:rsid w:val="00381E04"/>
    <w:rsid w:val="00396F1A"/>
    <w:rsid w:val="003A57A7"/>
    <w:rsid w:val="003A6964"/>
    <w:rsid w:val="003B22B4"/>
    <w:rsid w:val="003B320F"/>
    <w:rsid w:val="003B3399"/>
    <w:rsid w:val="003B6EC6"/>
    <w:rsid w:val="003C00EE"/>
    <w:rsid w:val="003C69D7"/>
    <w:rsid w:val="003C69FE"/>
    <w:rsid w:val="003C7C05"/>
    <w:rsid w:val="003D4964"/>
    <w:rsid w:val="003D4EC8"/>
    <w:rsid w:val="003D5931"/>
    <w:rsid w:val="003D6C14"/>
    <w:rsid w:val="003E0B02"/>
    <w:rsid w:val="003E1C81"/>
    <w:rsid w:val="003E7556"/>
    <w:rsid w:val="003F33E9"/>
    <w:rsid w:val="003F4371"/>
    <w:rsid w:val="003F46D7"/>
    <w:rsid w:val="003F5C8C"/>
    <w:rsid w:val="00402105"/>
    <w:rsid w:val="004025AA"/>
    <w:rsid w:val="00402847"/>
    <w:rsid w:val="00403B7E"/>
    <w:rsid w:val="004053A2"/>
    <w:rsid w:val="00406684"/>
    <w:rsid w:val="0041584D"/>
    <w:rsid w:val="00422981"/>
    <w:rsid w:val="00424583"/>
    <w:rsid w:val="0042678C"/>
    <w:rsid w:val="00431B6D"/>
    <w:rsid w:val="00433119"/>
    <w:rsid w:val="00441010"/>
    <w:rsid w:val="00451778"/>
    <w:rsid w:val="00451BFA"/>
    <w:rsid w:val="0045786F"/>
    <w:rsid w:val="00471C1A"/>
    <w:rsid w:val="00474572"/>
    <w:rsid w:val="00476771"/>
    <w:rsid w:val="0048207C"/>
    <w:rsid w:val="00484510"/>
    <w:rsid w:val="00487628"/>
    <w:rsid w:val="00496470"/>
    <w:rsid w:val="004A5857"/>
    <w:rsid w:val="004B59D2"/>
    <w:rsid w:val="004C069C"/>
    <w:rsid w:val="004C5959"/>
    <w:rsid w:val="004C6484"/>
    <w:rsid w:val="004C7814"/>
    <w:rsid w:val="004E2486"/>
    <w:rsid w:val="004E2BDB"/>
    <w:rsid w:val="004E513B"/>
    <w:rsid w:val="004E5926"/>
    <w:rsid w:val="004E5DDB"/>
    <w:rsid w:val="004E60F0"/>
    <w:rsid w:val="004E67DB"/>
    <w:rsid w:val="0050475B"/>
    <w:rsid w:val="005057CA"/>
    <w:rsid w:val="00507520"/>
    <w:rsid w:val="00512112"/>
    <w:rsid w:val="00513333"/>
    <w:rsid w:val="00513515"/>
    <w:rsid w:val="00514B48"/>
    <w:rsid w:val="005156FC"/>
    <w:rsid w:val="005169D7"/>
    <w:rsid w:val="0051769B"/>
    <w:rsid w:val="005229F4"/>
    <w:rsid w:val="00526A8B"/>
    <w:rsid w:val="00530670"/>
    <w:rsid w:val="00535949"/>
    <w:rsid w:val="0055084A"/>
    <w:rsid w:val="00553261"/>
    <w:rsid w:val="00554626"/>
    <w:rsid w:val="00556433"/>
    <w:rsid w:val="00560F69"/>
    <w:rsid w:val="00560F9F"/>
    <w:rsid w:val="00561240"/>
    <w:rsid w:val="005620DB"/>
    <w:rsid w:val="00562561"/>
    <w:rsid w:val="00564DEB"/>
    <w:rsid w:val="00571833"/>
    <w:rsid w:val="0057229A"/>
    <w:rsid w:val="00572687"/>
    <w:rsid w:val="005756C3"/>
    <w:rsid w:val="0057617A"/>
    <w:rsid w:val="00585347"/>
    <w:rsid w:val="005854FE"/>
    <w:rsid w:val="005875BF"/>
    <w:rsid w:val="00591888"/>
    <w:rsid w:val="00592400"/>
    <w:rsid w:val="005A1604"/>
    <w:rsid w:val="005A26A5"/>
    <w:rsid w:val="005B173C"/>
    <w:rsid w:val="005B2A90"/>
    <w:rsid w:val="005C0E82"/>
    <w:rsid w:val="005C1748"/>
    <w:rsid w:val="005C7A2C"/>
    <w:rsid w:val="005D2C05"/>
    <w:rsid w:val="005D3811"/>
    <w:rsid w:val="005D52FD"/>
    <w:rsid w:val="005E4D22"/>
    <w:rsid w:val="005F21FD"/>
    <w:rsid w:val="005F228B"/>
    <w:rsid w:val="00606DD8"/>
    <w:rsid w:val="00611BF7"/>
    <w:rsid w:val="0061535A"/>
    <w:rsid w:val="0062006C"/>
    <w:rsid w:val="006210D8"/>
    <w:rsid w:val="00623F49"/>
    <w:rsid w:val="006242ED"/>
    <w:rsid w:val="00637D42"/>
    <w:rsid w:val="00643F4C"/>
    <w:rsid w:val="006474CF"/>
    <w:rsid w:val="006508D1"/>
    <w:rsid w:val="00651C54"/>
    <w:rsid w:val="00652EF2"/>
    <w:rsid w:val="00654226"/>
    <w:rsid w:val="0065542F"/>
    <w:rsid w:val="00662538"/>
    <w:rsid w:val="00663D25"/>
    <w:rsid w:val="006641F0"/>
    <w:rsid w:val="006678D4"/>
    <w:rsid w:val="00672FC5"/>
    <w:rsid w:val="006733EA"/>
    <w:rsid w:val="00673702"/>
    <w:rsid w:val="00675E22"/>
    <w:rsid w:val="006776D2"/>
    <w:rsid w:val="006853D6"/>
    <w:rsid w:val="006854A3"/>
    <w:rsid w:val="0069287D"/>
    <w:rsid w:val="00692B43"/>
    <w:rsid w:val="006931F2"/>
    <w:rsid w:val="00696F6B"/>
    <w:rsid w:val="006973EB"/>
    <w:rsid w:val="006A5F38"/>
    <w:rsid w:val="006B4C10"/>
    <w:rsid w:val="006C1C72"/>
    <w:rsid w:val="006C423C"/>
    <w:rsid w:val="006C42DB"/>
    <w:rsid w:val="006C59EF"/>
    <w:rsid w:val="006C5F60"/>
    <w:rsid w:val="006D2D5E"/>
    <w:rsid w:val="006D3C18"/>
    <w:rsid w:val="006D44AD"/>
    <w:rsid w:val="006D4DEE"/>
    <w:rsid w:val="006D77C7"/>
    <w:rsid w:val="006E214F"/>
    <w:rsid w:val="006E284B"/>
    <w:rsid w:val="006E391A"/>
    <w:rsid w:val="006F1862"/>
    <w:rsid w:val="006F33F1"/>
    <w:rsid w:val="00703D39"/>
    <w:rsid w:val="007050EE"/>
    <w:rsid w:val="00711101"/>
    <w:rsid w:val="00721381"/>
    <w:rsid w:val="007272B0"/>
    <w:rsid w:val="00730E76"/>
    <w:rsid w:val="00731D02"/>
    <w:rsid w:val="007360A6"/>
    <w:rsid w:val="00742127"/>
    <w:rsid w:val="00743E81"/>
    <w:rsid w:val="00745D58"/>
    <w:rsid w:val="007470E9"/>
    <w:rsid w:val="00751A3C"/>
    <w:rsid w:val="0075328F"/>
    <w:rsid w:val="0075543D"/>
    <w:rsid w:val="00757130"/>
    <w:rsid w:val="00760AF2"/>
    <w:rsid w:val="007635D4"/>
    <w:rsid w:val="00764BD4"/>
    <w:rsid w:val="00765BD3"/>
    <w:rsid w:val="00771612"/>
    <w:rsid w:val="00771C22"/>
    <w:rsid w:val="00773AC7"/>
    <w:rsid w:val="0077726B"/>
    <w:rsid w:val="00780384"/>
    <w:rsid w:val="00794739"/>
    <w:rsid w:val="007962AF"/>
    <w:rsid w:val="007A3665"/>
    <w:rsid w:val="007A3E39"/>
    <w:rsid w:val="007B2B7E"/>
    <w:rsid w:val="007B5711"/>
    <w:rsid w:val="007B6994"/>
    <w:rsid w:val="007B7D07"/>
    <w:rsid w:val="007C047C"/>
    <w:rsid w:val="007C5AB4"/>
    <w:rsid w:val="007C754E"/>
    <w:rsid w:val="007D40A5"/>
    <w:rsid w:val="007D781E"/>
    <w:rsid w:val="007E05BD"/>
    <w:rsid w:val="007E3905"/>
    <w:rsid w:val="007E7B22"/>
    <w:rsid w:val="007F1CC3"/>
    <w:rsid w:val="007F38A4"/>
    <w:rsid w:val="0080029C"/>
    <w:rsid w:val="008029FB"/>
    <w:rsid w:val="00804728"/>
    <w:rsid w:val="008067C2"/>
    <w:rsid w:val="00814037"/>
    <w:rsid w:val="008141A3"/>
    <w:rsid w:val="00816D08"/>
    <w:rsid w:val="00821968"/>
    <w:rsid w:val="00822775"/>
    <w:rsid w:val="0082353C"/>
    <w:rsid w:val="0082374D"/>
    <w:rsid w:val="0082394D"/>
    <w:rsid w:val="00826CB5"/>
    <w:rsid w:val="008338C7"/>
    <w:rsid w:val="0083725F"/>
    <w:rsid w:val="008406E8"/>
    <w:rsid w:val="0084211F"/>
    <w:rsid w:val="00851AA6"/>
    <w:rsid w:val="008568C4"/>
    <w:rsid w:val="00856FAA"/>
    <w:rsid w:val="008714E1"/>
    <w:rsid w:val="00883766"/>
    <w:rsid w:val="0088542B"/>
    <w:rsid w:val="008900C7"/>
    <w:rsid w:val="0089146D"/>
    <w:rsid w:val="008925A1"/>
    <w:rsid w:val="00893CEF"/>
    <w:rsid w:val="008A5127"/>
    <w:rsid w:val="008C3274"/>
    <w:rsid w:val="008D214E"/>
    <w:rsid w:val="008D7164"/>
    <w:rsid w:val="008E2AC6"/>
    <w:rsid w:val="008E777C"/>
    <w:rsid w:val="008F12F4"/>
    <w:rsid w:val="008F4721"/>
    <w:rsid w:val="00901492"/>
    <w:rsid w:val="009052A3"/>
    <w:rsid w:val="00907F5D"/>
    <w:rsid w:val="009118CE"/>
    <w:rsid w:val="009139AB"/>
    <w:rsid w:val="00914730"/>
    <w:rsid w:val="00922AEB"/>
    <w:rsid w:val="00923567"/>
    <w:rsid w:val="00924A32"/>
    <w:rsid w:val="009332BB"/>
    <w:rsid w:val="00936D2E"/>
    <w:rsid w:val="00941FA1"/>
    <w:rsid w:val="009453F5"/>
    <w:rsid w:val="00952506"/>
    <w:rsid w:val="00954D69"/>
    <w:rsid w:val="009655AE"/>
    <w:rsid w:val="009747A4"/>
    <w:rsid w:val="00980B3A"/>
    <w:rsid w:val="009861CA"/>
    <w:rsid w:val="009866CB"/>
    <w:rsid w:val="0098690B"/>
    <w:rsid w:val="0099006D"/>
    <w:rsid w:val="00991ACF"/>
    <w:rsid w:val="00992A3E"/>
    <w:rsid w:val="00992F36"/>
    <w:rsid w:val="0099414B"/>
    <w:rsid w:val="009960BF"/>
    <w:rsid w:val="009970BF"/>
    <w:rsid w:val="009A5500"/>
    <w:rsid w:val="009A6B26"/>
    <w:rsid w:val="009A770B"/>
    <w:rsid w:val="009B07D1"/>
    <w:rsid w:val="009B5186"/>
    <w:rsid w:val="009C0613"/>
    <w:rsid w:val="009C3253"/>
    <w:rsid w:val="009C47E7"/>
    <w:rsid w:val="009C4B3E"/>
    <w:rsid w:val="009D029E"/>
    <w:rsid w:val="009D0BD2"/>
    <w:rsid w:val="009D28AB"/>
    <w:rsid w:val="009D4130"/>
    <w:rsid w:val="009E5F52"/>
    <w:rsid w:val="009E611C"/>
    <w:rsid w:val="009E6803"/>
    <w:rsid w:val="009E792C"/>
    <w:rsid w:val="009F1055"/>
    <w:rsid w:val="009F4A65"/>
    <w:rsid w:val="00A036D7"/>
    <w:rsid w:val="00A11341"/>
    <w:rsid w:val="00A15539"/>
    <w:rsid w:val="00A16EDB"/>
    <w:rsid w:val="00A27500"/>
    <w:rsid w:val="00A3781A"/>
    <w:rsid w:val="00A409F8"/>
    <w:rsid w:val="00A40E46"/>
    <w:rsid w:val="00A40EAB"/>
    <w:rsid w:val="00A43514"/>
    <w:rsid w:val="00A44B24"/>
    <w:rsid w:val="00A44BFC"/>
    <w:rsid w:val="00A457C6"/>
    <w:rsid w:val="00A50092"/>
    <w:rsid w:val="00A51E95"/>
    <w:rsid w:val="00A53AA0"/>
    <w:rsid w:val="00A62E1C"/>
    <w:rsid w:val="00A63897"/>
    <w:rsid w:val="00A64E9B"/>
    <w:rsid w:val="00A654A7"/>
    <w:rsid w:val="00A6736D"/>
    <w:rsid w:val="00A7007C"/>
    <w:rsid w:val="00A80DCF"/>
    <w:rsid w:val="00A80E02"/>
    <w:rsid w:val="00A84BDF"/>
    <w:rsid w:val="00A86A7F"/>
    <w:rsid w:val="00A86F41"/>
    <w:rsid w:val="00A91479"/>
    <w:rsid w:val="00A93406"/>
    <w:rsid w:val="00AA299A"/>
    <w:rsid w:val="00AA3D47"/>
    <w:rsid w:val="00AA4406"/>
    <w:rsid w:val="00AA45F7"/>
    <w:rsid w:val="00AA4D0C"/>
    <w:rsid w:val="00AA6129"/>
    <w:rsid w:val="00AB08BA"/>
    <w:rsid w:val="00AB3653"/>
    <w:rsid w:val="00AB5B54"/>
    <w:rsid w:val="00AC20D0"/>
    <w:rsid w:val="00AC26D5"/>
    <w:rsid w:val="00AC29DE"/>
    <w:rsid w:val="00AD0EA2"/>
    <w:rsid w:val="00AD12EF"/>
    <w:rsid w:val="00AD1489"/>
    <w:rsid w:val="00AD282C"/>
    <w:rsid w:val="00AD2CCA"/>
    <w:rsid w:val="00AD733C"/>
    <w:rsid w:val="00AD79D9"/>
    <w:rsid w:val="00AD7A46"/>
    <w:rsid w:val="00AE4A5F"/>
    <w:rsid w:val="00AF3AA2"/>
    <w:rsid w:val="00B027A3"/>
    <w:rsid w:val="00B04042"/>
    <w:rsid w:val="00B1141C"/>
    <w:rsid w:val="00B11CCA"/>
    <w:rsid w:val="00B1449B"/>
    <w:rsid w:val="00B17DC3"/>
    <w:rsid w:val="00B2244A"/>
    <w:rsid w:val="00B230A1"/>
    <w:rsid w:val="00B24BE5"/>
    <w:rsid w:val="00B271C9"/>
    <w:rsid w:val="00B27E53"/>
    <w:rsid w:val="00B32D67"/>
    <w:rsid w:val="00B32F90"/>
    <w:rsid w:val="00B361F6"/>
    <w:rsid w:val="00B37396"/>
    <w:rsid w:val="00B43B68"/>
    <w:rsid w:val="00B4432C"/>
    <w:rsid w:val="00B45B7A"/>
    <w:rsid w:val="00B501A8"/>
    <w:rsid w:val="00B50542"/>
    <w:rsid w:val="00B602D0"/>
    <w:rsid w:val="00B603A3"/>
    <w:rsid w:val="00B6278B"/>
    <w:rsid w:val="00B64E17"/>
    <w:rsid w:val="00B660C4"/>
    <w:rsid w:val="00B70AB6"/>
    <w:rsid w:val="00B7214D"/>
    <w:rsid w:val="00B7369D"/>
    <w:rsid w:val="00B75738"/>
    <w:rsid w:val="00B85DB4"/>
    <w:rsid w:val="00B8753A"/>
    <w:rsid w:val="00B906ED"/>
    <w:rsid w:val="00B91B4C"/>
    <w:rsid w:val="00B92591"/>
    <w:rsid w:val="00B93ABF"/>
    <w:rsid w:val="00B9551F"/>
    <w:rsid w:val="00BA198B"/>
    <w:rsid w:val="00BA1B02"/>
    <w:rsid w:val="00BB0A24"/>
    <w:rsid w:val="00BC52F8"/>
    <w:rsid w:val="00BD18D6"/>
    <w:rsid w:val="00BD66EC"/>
    <w:rsid w:val="00BE4B41"/>
    <w:rsid w:val="00BF3216"/>
    <w:rsid w:val="00C0008B"/>
    <w:rsid w:val="00C012DC"/>
    <w:rsid w:val="00C034D3"/>
    <w:rsid w:val="00C11D87"/>
    <w:rsid w:val="00C24583"/>
    <w:rsid w:val="00C34808"/>
    <w:rsid w:val="00C4412B"/>
    <w:rsid w:val="00C44D52"/>
    <w:rsid w:val="00C47804"/>
    <w:rsid w:val="00C47A34"/>
    <w:rsid w:val="00C518CC"/>
    <w:rsid w:val="00C527EB"/>
    <w:rsid w:val="00C5417B"/>
    <w:rsid w:val="00C558E0"/>
    <w:rsid w:val="00C572F8"/>
    <w:rsid w:val="00C60309"/>
    <w:rsid w:val="00C73FA9"/>
    <w:rsid w:val="00C80EEF"/>
    <w:rsid w:val="00C86171"/>
    <w:rsid w:val="00C91A76"/>
    <w:rsid w:val="00CA33C7"/>
    <w:rsid w:val="00CB203A"/>
    <w:rsid w:val="00CB435B"/>
    <w:rsid w:val="00CC4947"/>
    <w:rsid w:val="00CC6C01"/>
    <w:rsid w:val="00CD0BB7"/>
    <w:rsid w:val="00CD687B"/>
    <w:rsid w:val="00CE2AB0"/>
    <w:rsid w:val="00CE381D"/>
    <w:rsid w:val="00CE6FAC"/>
    <w:rsid w:val="00CE7D8F"/>
    <w:rsid w:val="00CF024D"/>
    <w:rsid w:val="00CF23A3"/>
    <w:rsid w:val="00CF663F"/>
    <w:rsid w:val="00CF69D9"/>
    <w:rsid w:val="00CF6B82"/>
    <w:rsid w:val="00CF796A"/>
    <w:rsid w:val="00D01F33"/>
    <w:rsid w:val="00D03DB4"/>
    <w:rsid w:val="00D13FF1"/>
    <w:rsid w:val="00D15B11"/>
    <w:rsid w:val="00D20F8E"/>
    <w:rsid w:val="00D30722"/>
    <w:rsid w:val="00D30D7E"/>
    <w:rsid w:val="00D32FB5"/>
    <w:rsid w:val="00D33454"/>
    <w:rsid w:val="00D358A8"/>
    <w:rsid w:val="00D41583"/>
    <w:rsid w:val="00D426D4"/>
    <w:rsid w:val="00D43A3A"/>
    <w:rsid w:val="00D46875"/>
    <w:rsid w:val="00D5319F"/>
    <w:rsid w:val="00D536F8"/>
    <w:rsid w:val="00D56344"/>
    <w:rsid w:val="00D60288"/>
    <w:rsid w:val="00D61E59"/>
    <w:rsid w:val="00D71DC8"/>
    <w:rsid w:val="00D75D47"/>
    <w:rsid w:val="00D76325"/>
    <w:rsid w:val="00D7688C"/>
    <w:rsid w:val="00D821CB"/>
    <w:rsid w:val="00D84D24"/>
    <w:rsid w:val="00D90478"/>
    <w:rsid w:val="00D97A45"/>
    <w:rsid w:val="00DA34BF"/>
    <w:rsid w:val="00DA5E18"/>
    <w:rsid w:val="00DC11F4"/>
    <w:rsid w:val="00DC7315"/>
    <w:rsid w:val="00DD35EB"/>
    <w:rsid w:val="00DD4AC9"/>
    <w:rsid w:val="00DE2AC2"/>
    <w:rsid w:val="00DE3488"/>
    <w:rsid w:val="00DE738C"/>
    <w:rsid w:val="00DF0884"/>
    <w:rsid w:val="00DF5A23"/>
    <w:rsid w:val="00DF5D87"/>
    <w:rsid w:val="00E04573"/>
    <w:rsid w:val="00E07DA4"/>
    <w:rsid w:val="00E130B8"/>
    <w:rsid w:val="00E17788"/>
    <w:rsid w:val="00E26007"/>
    <w:rsid w:val="00E37863"/>
    <w:rsid w:val="00E37DFF"/>
    <w:rsid w:val="00E43DD6"/>
    <w:rsid w:val="00E46E00"/>
    <w:rsid w:val="00E50469"/>
    <w:rsid w:val="00E610F2"/>
    <w:rsid w:val="00E63224"/>
    <w:rsid w:val="00E7330F"/>
    <w:rsid w:val="00E750B3"/>
    <w:rsid w:val="00E839BB"/>
    <w:rsid w:val="00E878DA"/>
    <w:rsid w:val="00E905DC"/>
    <w:rsid w:val="00EA163D"/>
    <w:rsid w:val="00EB089C"/>
    <w:rsid w:val="00EB14B2"/>
    <w:rsid w:val="00EB6861"/>
    <w:rsid w:val="00EB6F02"/>
    <w:rsid w:val="00EC1D93"/>
    <w:rsid w:val="00EC30DC"/>
    <w:rsid w:val="00EC6536"/>
    <w:rsid w:val="00ED1D2B"/>
    <w:rsid w:val="00ED1DEE"/>
    <w:rsid w:val="00ED589E"/>
    <w:rsid w:val="00ED7C26"/>
    <w:rsid w:val="00EE6A65"/>
    <w:rsid w:val="00EF7829"/>
    <w:rsid w:val="00EF7830"/>
    <w:rsid w:val="00F025DF"/>
    <w:rsid w:val="00F043BC"/>
    <w:rsid w:val="00F047CC"/>
    <w:rsid w:val="00F05C48"/>
    <w:rsid w:val="00F13CBC"/>
    <w:rsid w:val="00F2073F"/>
    <w:rsid w:val="00F20B4C"/>
    <w:rsid w:val="00F2248D"/>
    <w:rsid w:val="00F25E12"/>
    <w:rsid w:val="00F37F6A"/>
    <w:rsid w:val="00F406DA"/>
    <w:rsid w:val="00F439EE"/>
    <w:rsid w:val="00F44EAA"/>
    <w:rsid w:val="00F45A45"/>
    <w:rsid w:val="00F4771B"/>
    <w:rsid w:val="00F47F1D"/>
    <w:rsid w:val="00F50E71"/>
    <w:rsid w:val="00F52D61"/>
    <w:rsid w:val="00F54644"/>
    <w:rsid w:val="00F56901"/>
    <w:rsid w:val="00F626EF"/>
    <w:rsid w:val="00F6511D"/>
    <w:rsid w:val="00F761CE"/>
    <w:rsid w:val="00F8183F"/>
    <w:rsid w:val="00F83C6B"/>
    <w:rsid w:val="00F85B5F"/>
    <w:rsid w:val="00F90CA2"/>
    <w:rsid w:val="00F933D4"/>
    <w:rsid w:val="00F93BC7"/>
    <w:rsid w:val="00FA7DEC"/>
    <w:rsid w:val="00FC0E0C"/>
    <w:rsid w:val="00FD0743"/>
    <w:rsid w:val="00FD2501"/>
    <w:rsid w:val="00FD4C11"/>
    <w:rsid w:val="00FE350A"/>
    <w:rsid w:val="00FE373E"/>
    <w:rsid w:val="00FF07D6"/>
    <w:rsid w:val="00FF449A"/>
    <w:rsid w:val="00FF516F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9ACB"/>
  <w15:chartTrackingRefBased/>
  <w15:docId w15:val="{EA08D444-7E1F-4FC9-BE6C-8728A6CE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27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9B"/>
  </w:style>
  <w:style w:type="paragraph" w:styleId="Footer">
    <w:name w:val="footer"/>
    <w:basedOn w:val="Normal"/>
    <w:link w:val="FooterChar"/>
    <w:uiPriority w:val="99"/>
    <w:unhideWhenUsed/>
    <w:rsid w:val="00A6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9B"/>
  </w:style>
  <w:style w:type="character" w:styleId="CommentReference">
    <w:name w:val="annotation reference"/>
    <w:basedOn w:val="DefaultParagraphFont"/>
    <w:uiPriority w:val="99"/>
    <w:semiHidden/>
    <w:unhideWhenUsed/>
    <w:rsid w:val="000C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4FC8-D30E-4696-A636-9CDDF912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Brusin</dc:creator>
  <cp:keywords/>
  <dc:description/>
  <cp:lastModifiedBy>Senka Brusin</cp:lastModifiedBy>
  <cp:revision>27</cp:revision>
  <cp:lastPrinted>2020-10-14T10:12:00Z</cp:lastPrinted>
  <dcterms:created xsi:type="dcterms:W3CDTF">2020-12-16T06:50:00Z</dcterms:created>
  <dcterms:modified xsi:type="dcterms:W3CDTF">2020-12-23T09:42:00Z</dcterms:modified>
</cp:coreProperties>
</file>